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anumSquare" w:hAnsi="NanumSquare" w:eastAsia="NanumSquare"/>
          <w:b/>
          <w:color w:val="1F4E79"/>
          <w:sz w:val="56"/>
        </w:rPr>
        <w:t>K-ArtSell Aegis</w:t>
      </w:r>
    </w:p>
    <w:p>
      <w:pPr>
        <w:jc w:val="center"/>
      </w:pPr>
      <w:r>
        <w:rPr>
          <w:rFonts w:ascii="NanumSquare" w:hAnsi="NanumSquare" w:eastAsia="NanumSquare"/>
          <w:b/>
          <w:sz w:val="40"/>
        </w:rPr>
        <w:t>표준 UI · 지속 모델 피드백 · 통합 고도화 제안서 v14.0</w:t>
      </w:r>
    </w:p>
    <w:p>
      <w:pPr>
        <w:jc w:val="center"/>
      </w:pPr>
      <w:r>
        <w:rPr>
          <w:rFonts w:ascii="NanumSquare" w:hAnsi="NanumSquare" w:eastAsia="NanumSquare"/>
          <w:sz w:val="22"/>
        </w:rPr>
        <w:t>.NET 10 / ASP.NET Core 10 · Modular Monolith · Vertical Slice · FastEndpoints</w:t>
        <w:br/>
        <w:t>PostgreSQL/Npgsql/Dapper/DbUp · Hangfire · Vue 3/Vite 8/pnpm · PrimeVue/AG Grid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D9EAD3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문서 상태</w:t>
              <w:br/>
            </w:r>
            <w:r>
              <w:rPr>
                <w:rFonts w:ascii="NanumSquare" w:hAnsi="NanumSquare" w:eastAsia="NanumSquare"/>
                <w:sz w:val="18"/>
              </w:rPr>
              <w:t>IMPLEMENTATION_TEMPLATE / STATIC_VALIDATED / BUILD·DB·E2E REHEARSAL REQUIRED</w:t>
            </w:r>
          </w:p>
        </w:tc>
        <w:trPr>
          <w:tblHeader/>
        </w:trPr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8"/>
              </w:rPr>
              <w:t>항목</w:t>
            </w:r>
          </w:p>
        </w:tc>
        <w:tc>
          <w:tcPr>
            <w:tcW w:type="dxa" w:w="734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8"/>
              </w:rPr>
              <w:t>기준</w:t>
            </w:r>
          </w:p>
        </w:tc>
        <w:trPr>
          <w:tblHeader/>
        </w:trPr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기준일</w:t>
            </w:r>
          </w:p>
        </w:tc>
        <w:tc>
          <w:tcPr>
            <w:tcW w:type="dxa" w:w="73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2026-08-02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근거</w:t>
            </w:r>
          </w:p>
        </w:tc>
        <w:tc>
          <w:tcPr>
            <w:tcW w:type="dxa" w:w="73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v10.0 누적 실행기준서 · v12.1 실행준비 제안서 · v13.0 구현 패키지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운영 경계</w:t>
            </w:r>
          </w:p>
        </w:tc>
        <w:tc>
          <w:tcPr>
            <w:tcW w:type="dxa" w:w="73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투자자문형 → Shadow → Pilot · 자동주문/KIS 제출 OFF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알고리즘 상태</w:t>
            </w:r>
          </w:p>
        </w:tc>
        <w:tc>
          <w:tcPr>
            <w:tcW w:type="dxa" w:w="73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RESEARCH_CANDIDATE_NOT_PRODUCTION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v14 핵심 Delta</w:t>
            </w:r>
          </w:p>
        </w:tc>
        <w:tc>
          <w:tcPr>
            <w:tcW w:type="dxa" w:w="734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UI Provider Adapter v2 · T01~T10 실구현 · 지속 모델 피드백 상태기계 · J39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검증 진실성</w:t>
            </w:r>
          </w:p>
        </w:tc>
        <w:tc>
          <w:tcPr>
            <w:tcW w:type="dxa" w:w="734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8"/>
              </w:rPr>
              <w:t>정적 검증 수행; .NET/pnpm/PostgreSQL/Playwright/Shadow 미수행</w:t>
            </w:r>
          </w:p>
        </w:tc>
      </w:tr>
    </w:tbl>
    <w:p/>
    <w:p>
      <w:r>
        <w:br w:type="page"/>
      </w:r>
    </w:p>
    <w:p>
      <w:pPr>
        <w:pStyle w:val="Heading1"/>
      </w:pPr>
      <w:r>
        <w:t>목차</w:t>
      </w:r>
    </w:p>
    <w:p>
      <w:r>
        <w:t>0. 누적 비회귀와 경영진 결론</w:t>
      </w:r>
    </w:p>
    <w:p>
      <w:r>
        <w:t>1. 역할별 처절한 결함 감사</w:t>
      </w:r>
    </w:p>
    <w:p>
      <w:r>
        <w:t>2. SOLID·리팩터링·아키텍처 원칙</w:t>
      </w:r>
    </w:p>
    <w:p>
      <w:r>
        <w:t>3. FE Provider Adapter v2</w:t>
      </w:r>
    </w:p>
    <w:p>
      <w:r>
        <w:t>4. 표준 레이아웃·컴포넌트</w:t>
      </w:r>
    </w:p>
    <w:p>
      <w:r>
        <w:t>5. T01~T10 표준 화면 타입</w:t>
      </w:r>
    </w:p>
    <w:p>
      <w:r>
        <w:t>6. 알고리즘·매도/재진입 계약</w:t>
      </w:r>
    </w:p>
    <w:p>
      <w:r>
        <w:t>7. 지속 모델 평가·개선 피드백 루프</w:t>
      </w:r>
    </w:p>
    <w:p>
      <w:r>
        <w:t>8. BE·DB·Hangfire 표준</w:t>
      </w:r>
    </w:p>
    <w:p>
      <w:r>
        <w:t>9. 데이터 정합성·정규화/역정규화</w:t>
      </w:r>
    </w:p>
    <w:p>
      <w:r>
        <w:t>10. 상세 WBS·Gate·기술부채</w:t>
      </w:r>
    </w:p>
    <w:p>
      <w:r>
        <w:t>11. 20영업일 재착수</w:t>
      </w:r>
    </w:p>
    <w:p>
      <w:r>
        <w:t>12. 검증 진실성·패키지 정책</w:t>
      </w:r>
    </w:p>
    <w:p>
      <w:r>
        <w:t>부록 A. 핵심 체크리스트</w:t>
      </w:r>
    </w:p>
    <w:p>
      <w:r>
        <w:br w:type="page"/>
      </w:r>
    </w:p>
    <w:p>
      <w:pPr>
        <w:pStyle w:val="Heading1"/>
      </w:pPr>
      <w:r>
        <w:t>0. 누적 비회귀와 경영진 결론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최종 결론</w:t>
              <w:br/>
            </w:r>
            <w:r>
              <w:rPr>
                <w:rFonts w:ascii="NanumSquare" w:hAnsi="NanumSquare" w:eastAsia="NanumSquare"/>
                <w:sz w:val="18"/>
              </w:rPr>
              <w:t>v14.0은 기존 기준을 리셋하지 않는다. v10.0의 Baseline Preservation + Delta + Supersession + Traceability를 최상위 통제로 유지하고, v12.1/v13.0의 유효 코드와 문서를 보존한 뒤 신규 Delta만 추가한다.</w:t>
            </w:r>
          </w:p>
        </w:tc>
        <w:trPr>
          <w:tblHeader/>
        </w:trPr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158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기준선</w:t>
            </w:r>
          </w:p>
        </w:tc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460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보존 범위</w:t>
            </w:r>
          </w:p>
        </w:tc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v14.0 처리</w:t>
            </w:r>
          </w:p>
        </w:tc>
        <w:trPr>
          <w:tblHeader/>
        </w:trPr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v10.0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RETAINED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47개 장·26 Slice·16 Sprint·PIT·감사·자동주문 OFF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최상위 안전/비회귀 기준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v12.1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RETAINED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실행준비·202 WBS·기술부채·정적 검증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실행계약 근거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v13.0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IMPROVED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표준 UI 골격·J31~J38·400 WBS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Adapter·화면·피드백 루프 보강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v14.0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CURRENT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UI contract 2.0·T01~T10·J39·480 WBS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현재 실행 Delta</w:t>
            </w:r>
          </w:p>
        </w:tc>
      </w:tr>
    </w:tbl>
    <w:p/>
    <w:p>
      <w:pPr>
        <w:pStyle w:val="Heading2"/>
      </w:pPr>
      <w:r>
        <w:t>경영진이 봐야 할 숫자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항목</w:t>
            </w:r>
          </w:p>
        </w:tc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수치</w:t>
            </w:r>
          </w:p>
        </w:tc>
        <w:tc>
          <w:tcPr>
            <w:tcW w:type="dxa" w:w="590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판단</w:t>
            </w:r>
          </w:p>
        </w:tc>
        <w:trPr>
          <w:tblHeader/>
        </w:trPr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상세 WBS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480건</w:t>
            </w:r>
          </w:p>
        </w:tc>
        <w:tc>
          <w:tcPr>
            <w:tcW w:type="dxa" w:w="59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기존 400 + v14 Delta 80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기술부채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100건</w:t>
            </w:r>
          </w:p>
        </w:tc>
        <w:tc>
          <w:tcPr>
            <w:tcW w:type="dxa" w:w="59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P0는 Gate 전 종료/완화 승인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의사결정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62건</w:t>
            </w:r>
          </w:p>
        </w:tc>
        <w:tc>
          <w:tcPr>
            <w:tcW w:type="dxa" w:w="59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미확정은 코드 기본값 금지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추적성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81행</w:t>
            </w:r>
          </w:p>
        </w:tc>
        <w:tc>
          <w:tcPr>
            <w:tcW w:type="dxa" w:w="59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REQ→Policy/Data→API/DB/Job/UI→Test→WBS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FE 카탈로그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31건</w:t>
            </w:r>
          </w:p>
        </w:tc>
        <w:tc>
          <w:tcPr>
            <w:tcW w:type="dxa" w:w="59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컴포넌트·레이아웃·화면 계약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모델 운영 Job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25건</w:t>
            </w:r>
          </w:p>
        </w:tc>
        <w:tc>
          <w:tcPr>
            <w:tcW w:type="dxa" w:w="59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J39 포함, 신규 schedule 기본 OFF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FF2CC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냉정한 경고</w:t>
              <w:br/>
            </w:r>
            <w:r>
              <w:rPr>
                <w:rFonts w:ascii="NanumSquare" w:hAnsi="NanumSquare" w:eastAsia="NanumSquare"/>
                <w:sz w:val="18"/>
              </w:rPr>
              <w:t>화면 수와 Job 수는 생산준비도의 증거가 아니다. Source/License→PIT/DQ→Evidence→Decision→Review→Publish→Outcome→Reconciliation/DR가 닫혀야 한다.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1. 역할별 처절한 결함 감사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역할</w:t>
            </w:r>
          </w:p>
        </w:tc>
        <w:tc>
          <w:tcPr>
            <w:tcW w:type="dxa" w:w="460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처절한 진단</w:t>
            </w:r>
          </w:p>
        </w:tc>
        <w:tc>
          <w:tcPr>
            <w:tcW w:type="dxa" w:w="460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v14 처방</w:t>
            </w:r>
          </w:p>
        </w:tc>
        <w:trPr>
          <w:tblHeader/>
        </w:trPr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운영사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추천 생성 뒤 데이터 지연·보류·정정·대사·민원·DR가 보이지 않으면 매일 DB/로그 수작업으로 퇴행한다.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T08/T09/T10과 JobRun·Watermark·Runbook을 제품 표면에 노출.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아키텍트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공급자가 하나뿐인 Adapter는 교체 가능성 선언에 불과하다.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PrimeVue+AG Grid와 Native reference provider를 동일 contract로 구현.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PM/PL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WBS가 많아도 승인 증거·Owner·Dependency·Gate가 없으면 일정 장식이다.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480개 행에 Artifact·Acceptance Evidence·Owner·Gate 유지.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UX/AX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예쁜 정상 화면만 표준화하면 운영 실패 상태가 화면마다 달라진다.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LOADING/EMPTY/WARN/ERROR/권한/충돌/만료/READONLY/PROCESSING 계약.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QA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정적 파일 존재를 build PASS로 착각하기 쉽다.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정적 검증과 runtime rehearsal을 분리하고 미수행을 명시.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투자 고객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내부 점수보다 당시 데이터·비용·반대증거·다음 검토·재진입이 중요하다.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as-of·VersionSet·경고·만료·승인본 hash 표준 표시.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개발자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Generic Repository·God Service·무차별 interface·모든 화면 AG Grid는 과설계다.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Vertical Slice와 외부 경계 seam에만 추상화.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데이터 아키텍트/DBA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overwrite/current flag는 PIT·감사·재현성을 파괴한다.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Raw/PIT/DQ/Evidence/Ledger/Projection 분리와 append-only.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컨설턴트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가장 큰 위험은 검증하지 않은 것을 완료라고 말하는 문화다.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Source/Assumption/Unknown/Decision Required와 artifact 중심 Gate.</w:t>
            </w:r>
          </w:p>
        </w:tc>
      </w:tr>
    </w:tbl>
    <w:p/>
    <w:p>
      <w:r>
        <w:br w:type="page"/>
      </w:r>
    </w:p>
    <w:p>
      <w:pPr>
        <w:pStyle w:val="Heading1"/>
      </w:pPr>
      <w:r>
        <w:t>2. SOLID·리팩터링·아키텍처 원칙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원칙</w:t>
            </w:r>
          </w:p>
        </w:tc>
        <w:tc>
          <w:tcPr>
            <w:tcW w:type="dxa" w:w="460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현장 적용</w:t>
            </w:r>
          </w:p>
        </w:tc>
        <w:tc>
          <w:tcPr>
            <w:tcW w:type="dxa" w:w="475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금지</w:t>
            </w:r>
          </w:p>
        </w:tc>
        <w:trPr>
          <w:tblHeader/>
        </w:trPr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SRP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Endpoint=HTTP, Application=유스케이스, Policy=결정, Adapter=I/O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God Service, Job 내부 정책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OCP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정책·DQ·UI provider를 명시적 registry/contract로 확장</w:t>
            </w:r>
          </w:p>
        </w:tc>
        <w:tc>
          <w:tcPr>
            <w:tcW w:type="dxa" w:w="47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reflection plugin framework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LSP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Adapter 교체 시 prop/event/a11y/state contract test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mock 성공만으로 승인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ISP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IClock·PIT reader·Source adapter 등 좁은 Port</w:t>
            </w:r>
          </w:p>
        </w:tc>
        <w:tc>
          <w:tcPr>
            <w:tcW w:type="dxa" w:w="47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대형 Service Interface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DIP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Domain은 FastEndpoints/Dapper/Hangfire/Vue vendor를 모름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Infrastructure type 침투</w:t>
            </w:r>
          </w:p>
        </w:tc>
      </w:tr>
    </w:tbl>
    <w:p/>
    <w:p>
      <w:pPr>
        <w:pStyle w:val="ListBullet"/>
      </w:pPr>
      <w:r>
        <w:t>동작보존 리팩터링과 정책/수식 변경은 별도 PR로 분리한다.</w:t>
      </w:r>
    </w:p>
    <w:p>
      <w:pPr>
        <w:pStyle w:val="ListBullet"/>
      </w:pPr>
      <w:r>
        <w:t>Characterization/Golden test를 먼저 만든다.</w:t>
      </w:r>
    </w:p>
    <w:p>
      <w:pPr>
        <w:pStyle w:val="ListBullet"/>
      </w:pPr>
      <w:r>
        <w:t>코드 모양이 비슷하다는 이유만으로 공통화하지 않는다. 의미와 변경축이 같아야 한다.</w:t>
      </w:r>
    </w:p>
    <w:p>
      <w:pPr>
        <w:pStyle w:val="ListBullet"/>
      </w:pPr>
      <w:r>
        <w:t>모든 테이블을 event sourcing하지 않는다. Evidence/Decision/Transition/Audit에만 불변 원장을 적용한다.</w:t>
      </w:r>
    </w:p>
    <w:p>
      <w:pPr>
        <w:pStyle w:val="ListBullet"/>
      </w:pPr>
      <w:r>
        <w:t>조기 microservice·범용 Repository·무분별한 CQRS 확대를 금지한다.</w:t>
      </w:r>
    </w:p>
    <w:p>
      <w:pPr>
        <w:pStyle w:val="Heading2"/>
      </w:pPr>
      <w:r>
        <w:t>권장 저장소 구조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DDEBF7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Vertical Slice 경계</w:t>
              <w:br/>
            </w:r>
            <w:r>
              <w:rPr>
                <w:rFonts w:ascii="NanumSquare" w:hAnsi="NanumSquare" w:eastAsia="NanumSquare"/>
                <w:sz w:val="18"/>
              </w:rPr>
              <w:t>Feature는 Endpoint/Application/Policy/SQL/Event/Test/FE page를 한 사용자 결과로 완결한다. 공통 BuildingBlocks는 기술 편의가 아니라 불변 계약에 한정한다.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3. FE Provider Adapter v2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의존 방향</w:t>
              <w:br/>
            </w:r>
            <w:r>
              <w:rPr>
                <w:rFonts w:ascii="NanumSquare" w:hAnsi="NanumSquare" w:eastAsia="NanumSquare"/>
                <w:sz w:val="18"/>
              </w:rPr>
              <w:t>Feature → Ks Standard Component → UiAdapter contract → Provider implementation. Feature는 PrimeVue/AG Grid를 직접 import하지 않는다.</w:t>
            </w:r>
          </w:p>
        </w:tc>
        <w:trPr>
          <w:tblHeader/>
        </w:trPr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244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구분</w:t>
            </w:r>
          </w:p>
        </w:tc>
        <w:tc>
          <w:tcPr>
            <w:tcW w:type="dxa" w:w="806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계약</w:t>
            </w:r>
          </w:p>
        </w:tc>
        <w:trPr>
          <w:tblHeader/>
        </w:trPr>
      </w:tr>
      <w:tr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contractVersion</w:t>
            </w:r>
          </w:p>
        </w:tc>
        <w:tc>
          <w:tcPr>
            <w:tcW w:type="dxa" w:w="80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2.0</w:t>
            </w:r>
          </w:p>
        </w:tc>
      </w:tr>
      <w:tr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필수 capability</w:t>
            </w:r>
          </w:p>
        </w:tc>
        <w:tc>
          <w:tcPr>
            <w:tcW w:type="dxa" w:w="80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Button, TextField, TextArea, Select, Checkbox, DateField, NumberField, Dialog, StatusTag, DataGrid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생산 후보</w:t>
            </w:r>
          </w:p>
        </w:tc>
        <w:tc>
          <w:tcPr>
            <w:tcW w:type="dxa" w:w="80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primevue-aggrid</w:t>
            </w:r>
          </w:p>
        </w:tc>
      </w:tr>
      <w:tr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Reference</w:t>
            </w:r>
          </w:p>
        </w:tc>
        <w:tc>
          <w:tcPr>
            <w:tcW w:type="dxa" w:w="80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native-accessible; productionEligible=false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선택</w:t>
            </w:r>
          </w:p>
        </w:tc>
        <w:tc>
          <w:tcPr>
            <w:tcW w:type="dxa" w:w="80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VITE_UI_ADAPTER + resolveUiProvider</w:t>
            </w:r>
          </w:p>
        </w:tc>
      </w:tr>
      <w:tr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실패정책</w:t>
            </w:r>
          </w:p>
        </w:tc>
        <w:tc>
          <w:tcPr>
            <w:tcW w:type="dxa" w:w="80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미지원 provider/capability는 startup fail-fast</w:t>
            </w:r>
          </w:p>
        </w:tc>
      </w:tr>
    </w:tbl>
    <w:p/>
    <w:p>
      <w:pPr>
        <w:pStyle w:val="Heading2"/>
      </w:pPr>
      <w:r>
        <w:t>공급자 교체 Gate</w:t>
      </w:r>
    </w:p>
    <w:p>
      <w:pPr>
        <w:pStyle w:val="ListNumber"/>
      </w:pPr>
      <w:r>
        <w:t>Adapter contract test</w:t>
      </w:r>
    </w:p>
    <w:p>
      <w:pPr>
        <w:pStyle w:val="ListNumber"/>
      </w:pPr>
      <w:r>
        <w:t>키보드·landmark·label 접근성</w:t>
      </w:r>
    </w:p>
    <w:p>
      <w:pPr>
        <w:pStyle w:val="ListNumber"/>
      </w:pPr>
      <w:r>
        <w:t>상태별 visual regression</w:t>
      </w:r>
    </w:p>
    <w:p>
      <w:pPr>
        <w:pStyle w:val="ListNumber"/>
      </w:pPr>
      <w:r>
        <w:t>T01~T10 상태 matrix</w:t>
      </w:r>
    </w:p>
    <w:p>
      <w:pPr>
        <w:pStyle w:val="ListNumber"/>
      </w:pPr>
      <w:r>
        <w:t>대량목록 성능</w:t>
      </w:r>
    </w:p>
    <w:p>
      <w:pPr>
        <w:pStyle w:val="ListNumber"/>
      </w:pPr>
      <w:r>
        <w:t>보안·라이선스 검토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FF2CC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과유불급 통제</w:t>
              <w:br/>
            </w:r>
            <w:r>
              <w:rPr>
                <w:rFonts w:ascii="NanumSquare" w:hAnsi="NanumSquare" w:eastAsia="NanumSquare"/>
                <w:sz w:val="18"/>
              </w:rPr>
              <w:t>Native provider는 실제 교체 가능성을 증명하는 reference다. 생산 대안으로 과장하지 않는다. PrimeVue/AG Grid 교체는 Feature 수정 없이 provider layer에서만 수행해야 한다.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4. 표준 레이아웃·컴포넌트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244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레이아웃</w:t>
            </w:r>
          </w:p>
        </w:tc>
        <w:tc>
          <w:tcPr>
            <w:tcW w:type="dxa" w:w="432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388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핵심 상태/접근성</w:t>
            </w:r>
          </w:p>
        </w:tc>
        <w:trPr>
          <w:tblHeader/>
        </w:trPr>
      </w:tr>
      <w:tr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AppShellLayout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환경·자동화 경계·navigation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skip link, landmarks, automation OFF</w:t>
            </w:r>
          </w:p>
        </w:tc>
      </w:tr>
      <w:tr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PageLayout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title/as-of/version/actions/filters/aside/footer</w:t>
            </w:r>
          </w:p>
        </w:tc>
        <w:tc>
          <w:tcPr>
            <w:tcW w:type="dxa" w:w="388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h1, sticky action, responsive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FormPageLayout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입력과 Evidence preview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submit/dirty/conflict</w:t>
            </w:r>
          </w:p>
        </w:tc>
      </w:tr>
      <w:tr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ReviewWorkbenchLayout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queue/detail/decision</w:t>
            </w:r>
          </w:p>
        </w:tc>
        <w:tc>
          <w:tcPr>
            <w:tcW w:type="dxa" w:w="388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maker-checker keyboard order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DashboardLayout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KPI/primary/secondary/alerts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표 대체, sample/definition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345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표준 컴포넌트</w:t>
            </w:r>
          </w:p>
        </w:tc>
        <w:tc>
          <w:tcPr>
            <w:tcW w:type="dxa" w:w="720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7"/>
              </w:rPr>
              <w:t>핵심 계약</w:t>
            </w:r>
          </w:p>
        </w:tc>
        <w:trPr>
          <w:tblHeader/>
        </w:trPr>
      </w:tr>
      <w:tr>
        <w:tc>
          <w:tcPr>
            <w:tcW w:type="dxa" w:w="34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KsButton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severity/type/loading/disabled; activate 표준화</w:t>
            </w:r>
          </w:p>
        </w:tc>
      </w:tr>
      <w:tr>
        <w:tc>
          <w:tcPr>
            <w:tcW w:type="dxa" w:w="34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KsTextField/KsTextArea</w:t>
            </w:r>
          </w:p>
        </w:tc>
        <w:tc>
          <w:tcPr>
            <w:tcW w:type="dxa" w:w="72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label/help/error/aria-describedby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KsSelect/KsCheckbox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typed option/boolean update</w:t>
            </w:r>
          </w:p>
        </w:tc>
      </w:tr>
      <w:tr>
        <w:tc>
          <w:tcPr>
            <w:tcW w:type="dxa" w:w="34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KsDateField</w:t>
            </w:r>
          </w:p>
        </w:tc>
        <w:tc>
          <w:tcPr>
            <w:tcW w:type="dxa" w:w="72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날짜/최소·최대/빈값 provider parity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KsNumberField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범위/소수/빈값/금융 경계</w:t>
            </w:r>
          </w:p>
        </w:tc>
      </w:tr>
      <w:tr>
        <w:tc>
          <w:tcPr>
            <w:tcW w:type="dxa" w:w="34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KsDialog</w:t>
            </w:r>
          </w:p>
        </w:tc>
        <w:tc>
          <w:tcPr>
            <w:tcW w:type="dxa" w:w="72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visible/close/focus/keyboard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KsStatusTag</w:t>
            </w:r>
          </w:p>
        </w:tc>
        <w:tc>
          <w:tcPr>
            <w:tcW w:type="dxa" w:w="72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업무 상태 severity</w:t>
            </w:r>
          </w:p>
        </w:tc>
      </w:tr>
      <w:tr>
        <w:tc>
          <w:tcPr>
            <w:tcW w:type="dxa" w:w="34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KsDataGrid</w:t>
            </w:r>
          </w:p>
        </w:tc>
        <w:tc>
          <w:tcPr>
            <w:tcW w:type="dxa" w:w="72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7"/>
              </w:rPr>
              <w:t>column contract/selection/loading/height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DDEBF7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공통 컴포넌트 승격 규칙</w:t>
              <w:br/>
            </w:r>
            <w:r>
              <w:rPr>
                <w:rFonts w:ascii="NanumSquare" w:hAnsi="NanumSquare" w:eastAsia="NanumSquare"/>
                <w:sz w:val="18"/>
              </w:rPr>
              <w:t>3회 반복 + 동일 의미 + 동일 실패 상태 + 동일 변경축일 때만 승격한다. 모든 기능에 interface·wrapper를 만들지 않는다.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5. T01~T10 표준 화면 타입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79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ID</w:t>
            </w:r>
          </w:p>
        </w:tc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Component</w:t>
            </w:r>
          </w:p>
        </w:tc>
        <w:tc>
          <w:tcPr>
            <w:tcW w:type="dxa" w:w="244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용도</w:t>
            </w:r>
          </w:p>
        </w:tc>
        <w:tc>
          <w:tcPr>
            <w:tcW w:type="dxa" w:w="460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필수 증거</w:t>
            </w:r>
          </w:p>
        </w:tc>
        <w:trPr>
          <w:tblHeader/>
        </w:trPr>
      </w:tr>
      <w:tr>
        <w:tc>
          <w:tcPr>
            <w:tcW w:type="dxa" w:w="7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T01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SearchListCrudPage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검색·목록 CRUD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URL filter·permission·export auth</w:t>
            </w:r>
          </w:p>
        </w:tc>
      </w:tr>
      <w:tr>
        <w:tc>
          <w:tcPr>
            <w:tcW w:type="dxa" w:w="7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T02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DetailReadPage</w:t>
            </w:r>
          </w:p>
        </w:tc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상세·증거 조회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as-of·VersionSet·audit</w:t>
            </w:r>
          </w:p>
        </w:tc>
      </w:tr>
      <w:tr>
        <w:tc>
          <w:tcPr>
            <w:tcW w:type="dxa" w:w="7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T03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EditFormPage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등록·편집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Zod·If-Match·Idempotency</w:t>
            </w:r>
          </w:p>
        </w:tc>
      </w:tr>
      <w:tr>
        <w:tc>
          <w:tcPr>
            <w:tcW w:type="dxa" w:w="7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T04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MasterDetailCrudPage</w:t>
            </w:r>
          </w:p>
        </w:tc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Master-Detail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route selection·dirty guard</w:t>
            </w:r>
          </w:p>
        </w:tc>
      </w:tr>
      <w:tr>
        <w:tc>
          <w:tcPr>
            <w:tcW w:type="dxa" w:w="7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T05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ApprovalWorkbenchPage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검토·승인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maker-checker·reason·warning ack</w:t>
            </w:r>
          </w:p>
        </w:tc>
      </w:tr>
      <w:tr>
        <w:tc>
          <w:tcPr>
            <w:tcW w:type="dxa" w:w="7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T06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StepWizardPage</w:t>
            </w:r>
          </w:p>
        </w:tc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단계 흐름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resume·branch·impact revalidation</w:t>
            </w:r>
          </w:p>
        </w:tc>
      </w:tr>
      <w:tr>
        <w:tc>
          <w:tcPr>
            <w:tcW w:type="dxa" w:w="7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T07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ScorecardDashboardPage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일평가·SLO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metric definition·sample size</w:t>
            </w:r>
          </w:p>
        </w:tc>
      </w:tr>
      <w:tr>
        <w:tc>
          <w:tcPr>
            <w:tcW w:type="dxa" w:w="7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T08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BatchOperationsPageV2</w:t>
            </w:r>
          </w:p>
        </w:tc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배치·데이터 운영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JobRun·watermark·replay scope</w:t>
            </w:r>
          </w:p>
        </w:tc>
      </w:tr>
      <w:tr>
        <w:tc>
          <w:tcPr>
            <w:tcW w:type="dxa" w:w="7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T09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ReconciliationExceptionPage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대사·정정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before/after·correction·audit</w:t>
            </w:r>
          </w:p>
        </w:tc>
      </w:tr>
      <w:tr>
        <w:tc>
          <w:tcPr>
            <w:tcW w:type="dxa" w:w="7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T10</w:t>
            </w:r>
          </w:p>
        </w:tc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VersionGovernancePage</w:t>
            </w:r>
          </w:p>
        </w:tc>
        <w:tc>
          <w:tcPr>
            <w:tcW w:type="dxa" w:w="244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모델/정책/데이터 승격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same context·gate pack·rollback</w:t>
            </w:r>
          </w:p>
        </w:tc>
      </w:tr>
    </w:tbl>
    <w:p/>
    <w:p>
      <w:pPr>
        <w:pStyle w:val="Heading2"/>
      </w:pPr>
      <w:r>
        <w:t>공통 화면 상태</w:t>
      </w:r>
    </w:p>
    <w:p>
      <w:pPr>
        <w:pStyle w:val="ListBullet"/>
      </w:pPr>
      <w:r>
        <w:t>READY, LOADING, EMPTY, WARN, ERROR</w:t>
      </w:r>
    </w:p>
    <w:p>
      <w:pPr>
        <w:pStyle w:val="ListBullet"/>
      </w:pPr>
      <w:r>
        <w:t>UNAUTHORIZED, FORBIDDEN, PARTIAL</w:t>
      </w:r>
    </w:p>
    <w:p>
      <w:pPr>
        <w:pStyle w:val="ListBullet"/>
      </w:pPr>
      <w:r>
        <w:t>DIRTY, CONFLICT, EXPIRED, READONLY, PROCESSING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화면 계약의 핵심</w:t>
              <w:br/>
            </w:r>
            <w:r>
              <w:rPr>
                <w:rFonts w:ascii="NanumSquare" w:hAnsi="NanumSquare" w:eastAsia="NanumSquare"/>
                <w:sz w:val="18"/>
              </w:rPr>
              <w:t>정상 상태보다 실패 상태를 먼저 표준화한다. 화면에서 staleness, version, permission, correlation을 숨기지 않는다.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6. 알고리즘·매도/재진입 계약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고정 우선순위</w:t>
              <w:br/>
            </w:r>
            <w:r>
              <w:rPr>
                <w:rFonts w:ascii="NanumSquare" w:hAnsi="NanumSquare" w:eastAsia="NanumSquare"/>
                <w:sz w:val="18"/>
              </w:rPr>
              <w:t>HARD_IMPAIRMENT → PORTFOLIO_SURVIVAL → DYNAMIC_PROFIT_FLOOR → CONCENTRATION/LIQUIDITY → OPPORTUNITY_COST → REENTRY_OPTION</w:t>
            </w:r>
          </w:p>
        </w:tc>
        <w:trPr>
          <w:tblHeader/>
        </w:trPr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180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정책</w:t>
            </w:r>
          </w:p>
        </w:tc>
        <w:tc>
          <w:tcPr>
            <w:tcW w:type="dxa" w:w="302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조건</w:t>
            </w:r>
          </w:p>
        </w:tc>
        <w:tc>
          <w:tcPr>
            <w:tcW w:type="dxa" w:w="259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행동</w:t>
            </w:r>
          </w:p>
        </w:tc>
        <w:tc>
          <w:tcPr>
            <w:tcW w:type="dxa" w:w="360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5"/>
              </w:rPr>
              <w:t>불변조건</w:t>
            </w:r>
          </w:p>
        </w:tc>
        <w:trPr>
          <w:tblHeader/>
        </w:trPr>
      </w:tr>
      <w:tr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ALG-SELL-001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승인된 영구가치훼손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80~100% 매도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하위 점수 상쇄 금지·자동 재진입 금지</w:t>
            </w:r>
          </w:p>
        </w:tc>
      </w:tr>
      <w:tr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ALG-SELL-PORT-001</w:t>
            </w:r>
          </w:p>
        </w:tc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자본바닥/생존 위반</w:t>
            </w:r>
          </w:p>
        </w:tc>
        <w:tc>
          <w:tcPr>
            <w:tcW w:type="dxa" w:w="25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위험예산에 따른 축소</w:t>
            </w:r>
          </w:p>
        </w:tc>
        <w:tc>
          <w:tcPr>
            <w:tcW w:type="dxa" w:w="36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필요 시 Core 하회 가능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ALG-SELL-002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1.5 ATR 이상 갭 이탈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Lot 30~50% 부분매도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Strategic Core 보존</w:t>
            </w:r>
          </w:p>
        </w:tc>
      </w:tr>
      <w:tr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ALG-SELL-003</w:t>
            </w:r>
          </w:p>
        </w:tc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2개 종가 연속 이탈</w:t>
            </w:r>
          </w:p>
        </w:tc>
        <w:tc>
          <w:tcPr>
            <w:tcW w:type="dxa" w:w="25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Lot 15~25% 부분매도</w:t>
            </w:r>
          </w:p>
        </w:tc>
        <w:tc>
          <w:tcPr>
            <w:tcW w:type="dxa" w:w="36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cooldown·중복 방지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ALG-SELL-004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집중/유동성 초과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초과분+버퍼 축소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단일/섹터/클러스터/ADV</w:t>
            </w:r>
          </w:p>
        </w:tc>
      </w:tr>
      <w:tr>
        <w:tc>
          <w:tcPr>
            <w:tcW w:type="dxa" w:w="18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ALG-SELL-005</w:t>
            </w:r>
          </w:p>
        </w:tc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비용후 교체우위 하단&gt;0</w:t>
            </w:r>
          </w:p>
        </w:tc>
        <w:tc>
          <w:tcPr>
            <w:tcW w:type="dxa" w:w="25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Lot 10~25% 단계 교체</w:t>
            </w:r>
          </w:p>
        </w:tc>
        <w:tc>
          <w:tcPr>
            <w:tcW w:type="dxa" w:w="360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5"/>
              </w:rPr>
              <w:t>Fee/Tax/FX/슬리피지 PIT</w:t>
            </w:r>
          </w:p>
        </w:tc>
      </w:tr>
    </w:tbl>
    <w:p/>
    <w:p>
      <w:pPr>
        <w:pStyle w:val="Heading2"/>
      </w:pPr>
      <w:r>
        <w:t>재진입 계약</w:t>
      </w:r>
    </w:p>
    <w:p>
      <w:pPr>
        <w:pStyle w:val="ListBullet"/>
      </w:pPr>
      <w:r>
        <w:t>비가치훼손 매도와 동시에 ReentryWatch 생성</w:t>
      </w:r>
    </w:p>
    <w:p>
      <w:pPr>
        <w:pStyle w:val="ListBullet"/>
      </w:pPr>
      <w:r>
        <w:t>최소 10거래일, 상승 SMA50, 직전 20일 고점, 자산별 확인</w:t>
      </w:r>
    </w:p>
    <w:p>
      <w:pPr>
        <w:pStyle w:val="ListBullet"/>
      </w:pPr>
      <w:r>
        <w:t>단계 간 10거래일, 126거래일 만료</w:t>
      </w:r>
    </w:p>
    <w:p>
      <w:pPr>
        <w:pStyle w:val="ListBullet"/>
      </w:pPr>
      <w:r>
        <w:t>새 CycleId·새 Lot, 단계 중복 0</w:t>
      </w:r>
    </w:p>
    <w:p>
      <w:pPr>
        <w:pStyle w:val="ListBullet"/>
      </w:pPr>
      <w:r>
        <w:t>Hard impairment 자동 재진입 금지</w:t>
      </w:r>
    </w:p>
    <w:p>
      <w:r>
        <w:br w:type="page"/>
      </w:r>
    </w:p>
    <w:p>
      <w:pPr>
        <w:pStyle w:val="Heading1"/>
      </w:pPr>
      <w:r>
        <w:t>7. 지속 모델 평가·개선 피드백 루프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158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단계</w:t>
            </w:r>
          </w:p>
        </w:tc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Job</w:t>
            </w:r>
          </w:p>
        </w:tc>
        <w:tc>
          <w:tcPr>
            <w:tcW w:type="dxa" w:w="619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증거</w:t>
            </w:r>
          </w:p>
        </w:tc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4"/>
              </w:rPr>
              <w:t>경계</w:t>
            </w:r>
          </w:p>
        </w:tc>
        <w:trPr>
          <w:tblHeader/>
        </w:trPr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1 FREEZE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J31</w:t>
            </w:r>
          </w:p>
        </w:tc>
        <w:tc>
          <w:tcPr>
            <w:tcW w:type="dxa" w:w="61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PIT cutoff와 Dataset/Model/Config/Code/Contract SHA 동결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자동 평가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2 MATURE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J32</w:t>
            </w:r>
          </w:p>
        </w:tc>
        <w:tc>
          <w:tcPr>
            <w:tcW w:type="dxa" w:w="61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1/5/20/63/126/252 거래일 결과창 성숙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자동 평가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3 SCORE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J10/J11</w:t>
            </w:r>
          </w:p>
        </w:tc>
        <w:tc>
          <w:tcPr>
            <w:tcW w:type="dxa" w:w="61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비용후 outcome·scorecard·운영 무결성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자동 평가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4 DIAGNOSE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J17/J33/J34</w:t>
            </w:r>
          </w:p>
        </w:tc>
        <w:tc>
          <w:tcPr>
            <w:tcW w:type="dxa" w:w="61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drift·false-exit·gain capture·reentry·calibration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자동 평가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5 HYPOTHESIS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J35</w:t>
            </w:r>
          </w:p>
        </w:tc>
        <w:tc>
          <w:tcPr>
            <w:tcW w:type="dxa" w:w="61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supporting/counter evidence·반증 기준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제안만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6 CHALLENGER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J36</w:t>
            </w:r>
          </w:p>
        </w:tc>
        <w:tc>
          <w:tcPr>
            <w:tcW w:type="dxa" w:w="61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동결 실험 registry·OOS·비용 stress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제안만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7 VALIDATE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J19/J20/J37</w:t>
            </w:r>
          </w:p>
        </w:tc>
        <w:tc>
          <w:tcPr>
            <w:tcW w:type="dxa" w:w="61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재현성·PBO·DSR·안정성·독립검증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평가/제안</w:t>
            </w:r>
          </w:p>
        </w:tc>
      </w:tr>
      <w:tr>
        <w:tc>
          <w:tcPr>
            <w:tcW w:type="dxa" w:w="158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8 REVIEW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J22</w:t>
            </w:r>
          </w:p>
        </w:tc>
        <w:tc>
          <w:tcPr>
            <w:tcW w:type="dxa" w:w="61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승격 evidence pack·maker-checker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인간 결정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9 ACTIVATE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MANUAL_ONLY</w:t>
            </w:r>
          </w:p>
        </w:tc>
        <w:tc>
          <w:tcPr>
            <w:tcW w:type="dxa" w:w="61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effective_at·rollback·change ticket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4"/>
              </w:rPr>
              <w:t>자동화 금지</w:t>
            </w:r>
          </w:p>
        </w:tc>
      </w:tr>
    </w:tbl>
    <w:p/>
    <w:p>
      <w:pPr>
        <w:pStyle w:val="Heading2"/>
      </w:pPr>
      <w:r>
        <w:t>ModelFeedbackCycle 상태기계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상태</w:t>
              <w:br/>
            </w:r>
            <w:r>
              <w:rPr>
                <w:rFonts w:ascii="NanumSquare" w:hAnsi="NanumSquare" w:eastAsia="NanumSquare"/>
                <w:sz w:val="18"/>
              </w:rPr>
              <w:t>PLANNED → PREDICTION_FROZEN → OUTCOMES_MATURING → EVALUATED → IMPROVEMENT_PROPOSED → CHALLENGER_PLANNED → INDEPENDENTLY_VALIDATED → PROMOTION_REVIEW_PENDING → CLOSED. 어느 단계든 BUSINESS_HOLD 가능.</w:t>
            </w:r>
          </w:p>
        </w:tc>
        <w:trPr>
          <w:tblHeader/>
        </w:trPr>
      </w:tr>
    </w:tbl>
    <w:p/>
    <w:p>
      <w:pPr>
        <w:pStyle w:val="Heading2"/>
      </w:pPr>
      <w:r>
        <w:t>J39 FeedbackCycleIntegrityAudit</w:t>
      </w:r>
    </w:p>
    <w:p>
      <w:pPr>
        <w:pStyle w:val="ListBullet"/>
      </w:pPr>
      <w:r>
        <w:t>stuck cycle aging</w:t>
      </w:r>
    </w:p>
    <w:p>
      <w:pPr>
        <w:pStyle w:val="ListBullet"/>
      </w:pPr>
      <w:r>
        <w:t>불법 상태전이·sequence gap</w:t>
      </w:r>
    </w:p>
    <w:p>
      <w:pPr>
        <w:pStyle w:val="ListBullet"/>
      </w:pPr>
      <w:r>
        <w:t>evidence hash 누락/변조</w:t>
      </w:r>
    </w:p>
    <w:p>
      <w:pPr>
        <w:pStyle w:val="ListBullet"/>
      </w:pPr>
      <w:r>
        <w:t>Owner/Secondary·alert/runbook</w:t>
      </w:r>
    </w:p>
    <w:p>
      <w:pPr>
        <w:pStyle w:val="ListBullet"/>
      </w:pPr>
      <w:r>
        <w:t>기본 disabled; 자동 전이·자동 승격 없음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CCCC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절대 금지</w:t>
              <w:br/>
            </w:r>
            <w:r>
              <w:rPr>
                <w:rFonts w:ascii="NanumSquare" w:hAnsi="NanumSquare" w:eastAsia="NanumSquare"/>
                <w:sz w:val="18"/>
              </w:rPr>
              <w:t>scorecard 개선을 근거로 자동 model promotion, threshold 자동 변경, 자동 고객 공개, 자동주문/KIS 제출을 금지한다.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8. BE·DB·Hangfire 표준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432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432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Done 증거</w:t>
            </w:r>
          </w:p>
        </w:tc>
        <w:trPr>
          <w:tblHeader/>
        </w:trPr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Endpoint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Auth/권한/Header/Validator/ProblemDetails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401/403/409/412/422/429/503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Application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멱등·transaction·PIT context·orchestration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동일 key side effect 0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Domain Policy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순수 결정·우선순위·상태전이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Golden/boundary/monotonic/invariant</w:t>
            </w:r>
          </w:p>
        </w:tc>
      </w:tr>
      <w:tr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Infrastructure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Dapper SQL·PIT read·Adapter</w:t>
            </w:r>
          </w:p>
        </w:tc>
        <w:tc>
          <w:tcPr>
            <w:tcW w:type="dxa" w:w="432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PostgreSQL integration/contract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Outbox/Inbox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same transaction·lease·dead-letter·replay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crash/retry/replay hash</w:t>
            </w:r>
          </w:p>
        </w:tc>
      </w:tr>
    </w:tbl>
    <w:p/>
    <w:p>
      <w:pPr>
        <w:pStyle w:val="Heading2"/>
      </w:pPr>
      <w:r>
        <w:t>생산 Command 경계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Server Evidence</w:t>
              <w:br/>
            </w:r>
            <w:r>
              <w:rPr>
                <w:rFonts w:ascii="NanumSquare" w:hAnsi="NanumSquare" w:eastAsia="NanumSquare"/>
                <w:sz w:val="18"/>
              </w:rPr>
              <w:t>SignalDecision/Model operation Command는 PositionLotId·ScopeKey·AsOf 등 최소 식별자만 받는다. Evidence/Model/Config/Data Version은 서버가 승인된 PIT Context에서 조회한다. 클라이언트가 보낸 Evidence를 신뢰하지 않는다.</w:t>
            </w:r>
          </w:p>
        </w:tc>
        <w:trPr>
          <w:tblHeader/>
        </w:trPr>
      </w:tr>
    </w:tbl>
    <w:p/>
    <w:p>
      <w:pPr>
        <w:pStyle w:val="Heading2"/>
      </w:pPr>
      <w:r>
        <w:t>Hangfire 표준</w:t>
      </w:r>
    </w:p>
    <w:p>
      <w:pPr>
        <w:pStyle w:val="ListBullet"/>
      </w:pPr>
      <w:r>
        <w:t>JobRunId·Scope·IdempotencyKey·Watermark·Attempt·DatasetId·SourceVersion·CorrelationId</w:t>
      </w:r>
    </w:p>
    <w:p>
      <w:pPr>
        <w:pStyle w:val="ListBullet"/>
      </w:pPr>
      <w:r>
        <w:t>기술 오류만 retry; 데이터/승인 미완성은 BUSINESS_HOLD</w:t>
      </w:r>
    </w:p>
    <w:p>
      <w:pPr>
        <w:pStyle w:val="ListBullet"/>
      </w:pPr>
      <w:r>
        <w:t>연구 queue가 고객 추천 SLA queue를 침범하지 않음</w:t>
      </w:r>
    </w:p>
    <w:p>
      <w:pPr>
        <w:pStyle w:val="ListBullet"/>
      </w:pPr>
      <w:r>
        <w:t>재처리는 overwrite가 아니라 새 revision/evidence</w:t>
      </w:r>
    </w:p>
    <w:p>
      <w:r>
        <w:br w:type="page"/>
      </w:r>
    </w:p>
    <w:p>
      <w:pPr>
        <w:pStyle w:val="Heading1"/>
      </w:pPr>
      <w:r>
        <w:t>9. 데이터 정합성·정규화/역정규화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86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Layer</w:t>
            </w:r>
          </w:p>
        </w:tc>
        <w:tc>
          <w:tcPr>
            <w:tcW w:type="dxa" w:w="460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내용</w:t>
            </w:r>
          </w:p>
        </w:tc>
        <w:tc>
          <w:tcPr>
            <w:tcW w:type="dxa" w:w="489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불변조건</w:t>
            </w:r>
          </w:p>
        </w:tc>
        <w:trPr>
          <w:tblHeader/>
        </w:trPr>
      </w:tr>
      <w:tr>
        <w:tc>
          <w:tcPr>
            <w:tcW w:type="dxa" w:w="8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L0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Source catalog/license/SLA/schema</w:t>
            </w:r>
          </w:p>
        </w:tc>
        <w:tc>
          <w:tcPr>
            <w:tcW w:type="dxa" w:w="489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승인 없는 source 사용 금지</w:t>
            </w:r>
          </w:p>
        </w:tc>
      </w:tr>
      <w:tr>
        <w:tc>
          <w:tcPr>
            <w:tcW w:type="dxa" w:w="8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L1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Raw payload/hash/event/published/ingested</w:t>
            </w:r>
          </w:p>
        </w:tc>
        <w:tc>
          <w:tcPr>
            <w:tcW w:type="dxa" w:w="489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append-only</w:t>
            </w:r>
          </w:p>
        </w:tc>
      </w:tr>
      <w:tr>
        <w:tc>
          <w:tcPr>
            <w:tcW w:type="dxa" w:w="8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L2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Canonical PIT price/CA/fundamental/cost</w:t>
            </w:r>
          </w:p>
        </w:tc>
        <w:tc>
          <w:tcPr>
            <w:tcW w:type="dxa" w:w="489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revision·valid time·tradable session</w:t>
            </w:r>
          </w:p>
        </w:tc>
      </w:tr>
      <w:tr>
        <w:tc>
          <w:tcPr>
            <w:tcW w:type="dxa" w:w="8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L3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DQ/quarantine/lineage/dataset manifest</w:t>
            </w:r>
          </w:p>
        </w:tc>
        <w:tc>
          <w:tcPr>
            <w:tcW w:type="dxa" w:w="489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격리 데이터 추천 금지</w:t>
            </w:r>
          </w:p>
        </w:tc>
      </w:tr>
      <w:tr>
        <w:tc>
          <w:tcPr>
            <w:tcW w:type="dxa" w:w="8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L4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Feature/Forecast/Risk/Evidence</w:t>
            </w:r>
          </w:p>
        </w:tc>
        <w:tc>
          <w:tcPr>
            <w:tcW w:type="dxa" w:w="489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Dataset/Model/Config/Code SHA</w:t>
            </w:r>
          </w:p>
        </w:tc>
      </w:tr>
      <w:tr>
        <w:tc>
          <w:tcPr>
            <w:tcW w:type="dxa" w:w="8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L5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Ledger/Decision/Review/Publish/Outcome</w:t>
            </w:r>
          </w:p>
        </w:tc>
        <w:tc>
          <w:tcPr>
            <w:tcW w:type="dxa" w:w="489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append/reversal/correction</w:t>
            </w:r>
          </w:p>
        </w:tc>
      </w:tr>
      <w:tr>
        <w:tc>
          <w:tcPr>
            <w:tcW w:type="dxa" w:w="86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L6</w:t>
            </w:r>
          </w:p>
        </w:tc>
        <w:tc>
          <w:tcPr>
            <w:tcW w:type="dxa" w:w="460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화면·리포트 Read Model</w:t>
            </w:r>
          </w:p>
        </w:tc>
        <w:tc>
          <w:tcPr>
            <w:tcW w:type="dxa" w:w="489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Owner/Version/Watermark/Rebuild/Stale</w:t>
            </w:r>
          </w:p>
        </w:tc>
      </w:tr>
      <w:tr>
        <w:tc>
          <w:tcPr>
            <w:tcW w:type="dxa" w:w="86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L7</w:t>
            </w:r>
          </w:p>
        </w:tc>
        <w:tc>
          <w:tcPr>
            <w:tcW w:type="dxa" w:w="460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Backtest/ModelCard/Release artifact</w:t>
            </w:r>
          </w:p>
        </w:tc>
        <w:tc>
          <w:tcPr>
            <w:tcW w:type="dxa" w:w="489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artifact hash·environment manifest</w:t>
            </w:r>
          </w:p>
        </w:tc>
      </w:tr>
    </w:tbl>
    <w:p/>
    <w:p>
      <w:pPr>
        <w:pStyle w:val="ListBullet"/>
      </w:pPr>
      <w:r>
        <w:t>원장·현금·PositionLot·Fill은 3NF와 unique source key를 사용한다.</w:t>
      </w:r>
    </w:p>
    <w:p>
      <w:pPr>
        <w:pStyle w:val="ListBullet"/>
      </w:pPr>
      <w:r>
        <w:t>PIT 레코드는 source_event_time/published_at/ingested_at/effective/revision/source/hash/dataset을 가진다.</w:t>
      </w:r>
    </w:p>
    <w:p>
      <w:pPr>
        <w:pStyle w:val="ListBullet"/>
      </w:pPr>
      <w:r>
        <w:t>설정·수수료·세금·FX는 valid_from/to로 버전 관리한다.</w:t>
      </w:r>
    </w:p>
    <w:p>
      <w:pPr>
        <w:pStyle w:val="ListBullet"/>
      </w:pPr>
      <w:r>
        <w:t>역정규화는 Read Model에만 허용하고 ProjectionVersion/Watermark/Rebuild/Stale를 요구한다.</w:t>
      </w:r>
    </w:p>
    <w:p>
      <w:pPr>
        <w:pStyle w:val="ListBullet"/>
      </w:pPr>
      <w:r>
        <w:t>기업행사·상폐수익·총수익·통화·거래일 캘린더를 Golden 데이터로 고정한다.</w:t>
      </w:r>
    </w:p>
    <w:p>
      <w:r>
        <w:br w:type="page"/>
      </w:r>
    </w:p>
    <w:p>
      <w:pPr>
        <w:pStyle w:val="Heading1"/>
      </w:pPr>
      <w:r>
        <w:t>10. 상세 WBS·Gate·기술부채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230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범위</w:t>
            </w:r>
          </w:p>
        </w:tc>
        <w:tc>
          <w:tcPr>
            <w:tcW w:type="dxa" w:w="259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WBS</w:t>
            </w:r>
          </w:p>
        </w:tc>
        <w:tc>
          <w:tcPr>
            <w:tcW w:type="dxa" w:w="547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핵심</w:t>
            </w:r>
          </w:p>
        </w:tc>
        <w:trPr>
          <w:tblHeader/>
        </w:trPr>
      </w:tr>
      <w:tr>
        <w:tc>
          <w:tcPr>
            <w:tcW w:type="dxa" w:w="23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UI Adapter/Provider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AEG-V14-001~012</w:t>
            </w:r>
          </w:p>
        </w:tc>
        <w:tc>
          <w:tcPr>
            <w:tcW w:type="dxa" w:w="547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contract 2.0·두 provider·교체 Gate</w:t>
            </w:r>
          </w:p>
        </w:tc>
      </w:tr>
      <w:tr>
        <w:tc>
          <w:tcPr>
            <w:tcW w:type="dxa" w:w="23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T01~T10/UX QA</w:t>
            </w:r>
          </w:p>
        </w:tc>
        <w:tc>
          <w:tcPr>
            <w:tcW w:type="dxa" w:w="25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AEG-V14-013~040</w:t>
            </w:r>
          </w:p>
        </w:tc>
        <w:tc>
          <w:tcPr>
            <w:tcW w:type="dxa" w:w="547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화면·scaffold·a11y·visual·perf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Model Feedback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AEG-V14-041~060</w:t>
            </w:r>
          </w:p>
        </w:tc>
        <w:tc>
          <w:tcPr>
            <w:tcW w:type="dxa" w:w="547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cycle·hypothesis·J39·수동 activation</w:t>
            </w:r>
          </w:p>
        </w:tc>
      </w:tr>
      <w:tr>
        <w:tc>
          <w:tcPr>
            <w:tcW w:type="dxa" w:w="230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BE/Data</w:t>
            </w:r>
          </w:p>
        </w:tc>
        <w:tc>
          <w:tcPr>
            <w:tcW w:type="dxa" w:w="259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AEG-V14-061~070</w:t>
            </w:r>
          </w:p>
        </w:tc>
        <w:tc>
          <w:tcPr>
            <w:tcW w:type="dxa" w:w="547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ProblemDetails·concurrency·idempotency·PIT·projection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CI/운영/패키징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AEG-V14-071~080</w:t>
            </w:r>
          </w:p>
        </w:tc>
        <w:tc>
          <w:tcPr>
            <w:tcW w:type="dxa" w:w="547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build/DB/E2E/SBOM/SLO/release/non-recursive ZIP</w:t>
            </w:r>
          </w:p>
        </w:tc>
      </w:tr>
    </w:tbl>
    <w:p/>
    <w:p>
      <w:pPr>
        <w:pStyle w:val="Heading2"/>
      </w:pPr>
      <w:r>
        <w:t>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Gate</w:t>
            </w:r>
          </w:p>
        </w:tc>
        <w:tc>
          <w:tcPr>
            <w:tcW w:type="dxa" w:w="89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완료 조건</w:t>
            </w:r>
          </w:p>
        </w:tc>
        <w:trPr>
          <w:tblHeader/>
        </w:trPr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G0</w:t>
            </w:r>
          </w:p>
        </w:tc>
        <w:tc>
          <w:tcPr>
            <w:tcW w:type="dxa" w:w="89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도구체인·Architecture·Adapter contract·DbUp rehearsal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G1</w:t>
            </w:r>
          </w:p>
        </w:tc>
        <w:tc>
          <w:tcPr>
            <w:tcW w:type="dxa" w:w="89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Source/License·PIT·DQ·Calendar·Fee/Tax/FX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G3</w:t>
            </w:r>
          </w:p>
        </w:tc>
        <w:tc>
          <w:tcPr>
            <w:tcW w:type="dxa" w:w="89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Outbox/Inbox·Read Model rebuild·UI E2E·승인 공개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G4</w:t>
            </w:r>
          </w:p>
        </w:tc>
        <w:tc>
          <w:tcPr>
            <w:tcW w:type="dxa" w:w="89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252일·2국면·false-exit·reentry·PBO/DSR·독립검증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G5</w:t>
            </w:r>
          </w:p>
        </w:tc>
        <w:tc>
          <w:tcPr>
            <w:tcW w:type="dxa" w:w="89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Auth·보안·DR·SLO·kill-switch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G6</w:t>
            </w:r>
          </w:p>
        </w:tc>
        <w:tc>
          <w:tcPr>
            <w:tcW w:type="dxa" w:w="89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Release Evidence·운영/준법/투자위 승인</w:t>
            </w:r>
          </w:p>
        </w:tc>
      </w:tr>
    </w:tbl>
    <w:p/>
    <w:p>
      <w:pPr>
        <w:pStyle w:val="Heading2"/>
      </w:pPr>
      <w:r>
        <w:t>P0 신규 기술부채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ID</w:t>
            </w:r>
          </w:p>
        </w:tc>
        <w:tc>
          <w:tcPr>
            <w:tcW w:type="dxa" w:w="748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부채</w:t>
            </w:r>
          </w:p>
        </w:tc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Gate</w:t>
            </w:r>
          </w:p>
        </w:tc>
        <w:trPr>
          <w:tblHeader/>
        </w:trPr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TD-081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UI adapter v2 실 typecheck 미검증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G0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TD-088</w:t>
            </w:r>
          </w:p>
        </w:tc>
        <w:tc>
          <w:tcPr>
            <w:tcW w:type="dxa" w:w="748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Feedback cycle repository 미구현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G4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TD-090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Human activation application service 미구현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G4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TD-092</w:t>
            </w:r>
          </w:p>
        </w:tc>
        <w:tc>
          <w:tcPr>
            <w:tcW w:type="dxa" w:w="748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0019 migration rehearsal 미실행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G0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TD-093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pnpm-lock.yaml 부재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G0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TD-098</w:t>
            </w:r>
          </w:p>
        </w:tc>
        <w:tc>
          <w:tcPr>
            <w:tcW w:type="dxa" w:w="748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model metric definition 원장 미완전</w:t>
            </w:r>
          </w:p>
        </w:tc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G4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TD-099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시장 캘린더·시간대 공급계약 미확정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G1</w:t>
            </w:r>
          </w:p>
        </w:tc>
      </w:tr>
    </w:tbl>
    <w:p/>
    <w:p>
      <w:r>
        <w:br w:type="page"/>
      </w:r>
    </w:p>
    <w:p>
      <w:pPr>
        <w:pStyle w:val="Heading1"/>
      </w:pPr>
      <w:r>
        <w:t>11. 20영업일 재착수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144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기간</w:t>
            </w:r>
          </w:p>
        </w:tc>
        <w:tc>
          <w:tcPr>
            <w:tcW w:type="dxa" w:w="64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핵심 작업</w:t>
            </w:r>
          </w:p>
        </w:tc>
        <w:tc>
          <w:tcPr>
            <w:tcW w:type="dxa" w:w="3024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완료 증거</w:t>
            </w:r>
          </w:p>
        </w:tc>
        <w:trPr>
          <w:tblHeader/>
        </w:trPr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D1~D3</w:t>
            </w:r>
          </w:p>
        </w:tc>
        <w:tc>
          <w:tcPr>
            <w:tcW w:type="dxa" w:w="64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v14 기준선·Decision·자동주문 OFF·ID registry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Steering sign-off, 중복 ID 0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D4~D6</w:t>
            </w:r>
          </w:p>
        </w:tc>
        <w:tc>
          <w:tcPr>
            <w:tcW w:type="dxa" w:w="64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.NET/node/pnpm lock·secret/env·Gitea CI</w:t>
            </w:r>
          </w:p>
        </w:tc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reproducible bootstrap green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D7~D10</w:t>
            </w:r>
          </w:p>
        </w:tc>
        <w:tc>
          <w:tcPr>
            <w:tcW w:type="dxa" w:w="64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DbUp 4시나리오·Auth·Outbox/Inbox·Adapter v2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G0 통과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D11~D14</w:t>
            </w:r>
          </w:p>
        </w:tc>
        <w:tc>
          <w:tcPr>
            <w:tcW w:type="dxa" w:w="64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SecurityMaster·MarketData·PIT·CA·DQ·Calendar</w:t>
            </w:r>
          </w:p>
        </w:tc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replay hash 동일, lookahead 0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D15~D17</w:t>
            </w:r>
          </w:p>
        </w:tc>
        <w:tc>
          <w:tcPr>
            <w:tcW w:type="dxa" w:w="64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Evidence·Sell/Reentry·Feedback cycle Golden</w:t>
            </w:r>
          </w:p>
        </w:tc>
        <w:tc>
          <w:tcPr>
            <w:tcW w:type="dxa" w:w="3024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G2-A/G4 contract 통과</w:t>
            </w:r>
          </w:p>
        </w:tc>
      </w:tr>
      <w:tr>
        <w:tc>
          <w:tcPr>
            <w:tcW w:type="dxa" w:w="144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D18~D20</w:t>
            </w:r>
          </w:p>
        </w:tc>
        <w:tc>
          <w:tcPr>
            <w:tcW w:type="dxa" w:w="64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T01/T05/T08/T10 E2E·OTel·Release Evidence</w:t>
            </w:r>
          </w:p>
        </w:tc>
        <w:tc>
          <w:tcPr>
            <w:tcW w:type="dxa" w:w="3024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첫 운영형 End-to-End Slice Done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FF2CC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착수 원칙</w:t>
              <w:br/>
            </w:r>
            <w:r>
              <w:rPr>
                <w:rFonts w:ascii="NanumSquare" w:hAnsi="NanumSquare" w:eastAsia="NanumSquare"/>
                <w:sz w:val="18"/>
              </w:rPr>
              <w:t>RG/Ready Gate를 통과하지 않은 Slice는 코딩하지 않는다. 미확정 값은 DECISION_REQUIRED로 차단하고 코드 기본값으로 추정하지 않는다.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12. 검증 진실성·패키지 정책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345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검증</w:t>
            </w:r>
          </w:p>
        </w:tc>
        <w:tc>
          <w:tcPr>
            <w:tcW w:type="dxa" w:w="1728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475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비고</w:t>
            </w:r>
          </w:p>
        </w:tc>
        <w:trPr>
          <w:tblHeader/>
        </w:trPr>
      </w:tr>
      <w:tr>
        <w:tc>
          <w:tcPr>
            <w:tcW w:type="dxa" w:w="34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정적 패키지/JSON/CSV/UI 경계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PASS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tools/validate_v14.py</w:t>
            </w:r>
          </w:p>
        </w:tc>
      </w:tr>
      <w:tr>
        <w:tc>
          <w:tcPr>
            <w:tcW w:type="dxa" w:w="34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Python scaffold tests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PASS</w:t>
            </w:r>
          </w:p>
        </w:tc>
        <w:tc>
          <w:tcPr>
            <w:tcW w:type="dxa" w:w="47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3 tests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DOCX render/시각검사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PASS 예정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render 후 QA 기록</w:t>
            </w:r>
          </w:p>
        </w:tc>
      </w:tr>
      <w:tr>
        <w:tc>
          <w:tcPr>
            <w:tcW w:type="dxa" w:w="34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.NET restore/build/test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미실행</w:t>
            </w:r>
          </w:p>
        </w:tc>
        <w:tc>
          <w:tcPr>
            <w:tcW w:type="dxa" w:w="47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SDK 없음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pnpm frozen/typecheck/test/build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미실행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lockfile/네트워크 없음</w:t>
            </w:r>
          </w:p>
        </w:tc>
      </w:tr>
      <w:tr>
        <w:tc>
          <w:tcPr>
            <w:tcW w:type="dxa" w:w="34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PostgreSQL migration rehearsal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미실행</w:t>
            </w:r>
          </w:p>
        </w:tc>
        <w:tc>
          <w:tcPr>
            <w:tcW w:type="dxa" w:w="47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DB client/server 없음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Playwright E2E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미실행</w:t>
            </w:r>
          </w:p>
        </w:tc>
        <w:tc>
          <w:tcPr>
            <w:tcW w:type="dxa" w:w="475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browser/dependencies 없음</w:t>
            </w:r>
          </w:p>
        </w:tc>
      </w:tr>
      <w:tr>
        <w:tc>
          <w:tcPr>
            <w:tcW w:type="dxa" w:w="345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252일 Shadow/PBO/DSR</w:t>
            </w:r>
          </w:p>
        </w:tc>
        <w:tc>
          <w:tcPr>
            <w:tcW w:type="dxa" w:w="1728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미충족</w:t>
            </w:r>
          </w:p>
        </w:tc>
        <w:tc>
          <w:tcPr>
            <w:tcW w:type="dxa" w:w="475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생산 승격 금지</w:t>
            </w:r>
          </w:p>
        </w:tc>
      </w:tr>
    </w:tbl>
    <w:p/>
    <w:p>
      <w:pPr>
        <w:pStyle w:val="Heading2"/>
      </w:pPr>
      <w:r>
        <w:t>ZIP 분리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2880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패키지</w:t>
            </w:r>
          </w:p>
        </w:tc>
        <w:tc>
          <w:tcPr>
            <w:tcW w:type="dxa" w:w="5472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포함</w:t>
            </w:r>
          </w:p>
        </w:tc>
        <w:tc>
          <w:tcPr>
            <w:tcW w:type="dxa" w:w="2016"/>
            <w:shd w:fill="17365D"/>
            <w:vAlign w:val="center"/>
          </w:tcPr>
          <w:p>
            <w:r/>
            <w:r>
              <w:rPr>
                <w:rFonts w:ascii="NanumSquare" w:hAnsi="NanumSquare" w:eastAsia="NanumSquare"/>
                <w:b/>
                <w:color w:val="FFFFFF"/>
                <w:sz w:val="16"/>
              </w:rPr>
              <w:t>목적</w:t>
            </w:r>
          </w:p>
        </w:tc>
        <w:trPr>
          <w:tblHeader/>
        </w:trPr>
      </w:tr>
      <w:tr>
        <w:tc>
          <w:tcPr>
            <w:tcW w:type="dxa" w:w="2880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Core_NoLegacy</w:t>
            </w:r>
          </w:p>
        </w:tc>
        <w:tc>
          <w:tcPr>
            <w:tcW w:type="dxa" w:w="5472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개선 소스·문서·계약·테스트; 과거 원본 ZIP 제외</w:t>
            </w:r>
          </w:p>
        </w:tc>
        <w:tc>
          <w:tcPr>
            <w:tcW w:type="dxa" w:w="2016"/>
            <w:vAlign w:val="center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개발/CI/다운로드 최소화</w:t>
            </w:r>
          </w:p>
        </w:tc>
      </w:tr>
      <w:tr>
        <w:tc>
          <w:tcPr>
            <w:tcW w:type="dxa" w:w="2880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Full_With_Attachments</w:t>
            </w:r>
          </w:p>
        </w:tc>
        <w:tc>
          <w:tcPr>
            <w:tcW w:type="dxa" w:w="5472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Core + 현재 세션 원본 DOCX 2개 + v13 ZIP</w:t>
            </w:r>
          </w:p>
        </w:tc>
        <w:tc>
          <w:tcPr>
            <w:tcW w:type="dxa" w:w="2016"/>
            <w:vAlign w:val="center"/>
            <w:shd w:fill="F3F6F9"/>
          </w:tcPr>
          <w:p>
            <w:r/>
            <w:r>
              <w:rPr>
                <w:rFonts w:ascii="NanumSquare" w:hAnsi="NanumSquare" w:eastAsia="NanumSquare"/>
                <w:b w:val="0"/>
                <w:sz w:val="16"/>
              </w:rPr>
              <w:t>사용자 요구 원본 보존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DDEBF7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재귀 ZIP 방지</w:t>
              <w:br/>
            </w:r>
            <w:r>
              <w:rPr>
                <w:rFonts w:ascii="NanumSquare" w:hAnsi="NanumSquare" w:eastAsia="NanumSquare"/>
                <w:sz w:val="18"/>
              </w:rPr>
              <w:t>생성 출력 ZIP 자체와 과거 생성 출력물을 입력 tree에서 제외한다. 원본 v13 ZIP은 Full 패키지에만 한 번 포함한다.</w:t>
            </w:r>
          </w:p>
        </w:tc>
        <w:trPr>
          <w:tblHeader/>
        </w:trPr>
      </w:tr>
    </w:tbl>
    <w:p/>
    <w:p>
      <w:r>
        <w:br w:type="page"/>
      </w:r>
    </w:p>
    <w:p>
      <w:pPr>
        <w:pStyle w:val="Heading1"/>
      </w:pPr>
      <w:r>
        <w:t>부록 A. 최종 체크리스트</w:t>
      </w:r>
    </w:p>
    <w:p>
      <w:r>
        <w:t>□ v10.0·v12.1·v13.0의 유효 기준이 Coverage Matrix에 보존되었다.</w:t>
      </w:r>
    </w:p>
    <w:p>
      <w:r>
        <w:t>□ 자동주문/KIS 제출 Capability가 OFF다.</w:t>
      </w:r>
    </w:p>
    <w:p>
      <w:r>
        <w:t>□ Feature의 PrimeVue/AG Grid 직접 import가 0이다.</w:t>
      </w:r>
    </w:p>
    <w:p>
      <w:r>
        <w:t>□ UI Adapter v2 10 capability와 두 provider가 존재한다.</w:t>
      </w:r>
    </w:p>
    <w:p>
      <w:r>
        <w:t>□ T01~T10 실제 화면 컴포넌트와 상태 계약이 있다.</w:t>
      </w:r>
    </w:p>
    <w:p>
      <w:r>
        <w:t>□ as-of/VersionSet/staleness/permission/audit가 화면 계약에 포함된다.</w:t>
      </w:r>
    </w:p>
    <w:p>
      <w:r>
        <w:t>□ Hard impairment와 survival이 하위 정책으로 상쇄되지 않는다.</w:t>
      </w:r>
    </w:p>
    <w:p>
      <w:r>
        <w:t>□ Reentry는 새 Cycle/Lot·간격·만료·중복방지를 보존한다.</w:t>
      </w:r>
    </w:p>
    <w:p>
      <w:r>
        <w:t>□ Feedback loop 자동화는 평가·제안까지만 수행한다.</w:t>
      </w:r>
    </w:p>
    <w:p>
      <w:r>
        <w:t>□ activation은 HUMAN_CHANGE_APPROVAL + maker-checker + rollback이다.</w:t>
      </w:r>
    </w:p>
    <w:p>
      <w:r>
        <w:t>□ J39는 기본 disabled다.</w:t>
      </w:r>
    </w:p>
    <w:p>
      <w:r>
        <w:t>□ PIT/revision/hash/DQ/lineage/replay가 계약화되었다.</w:t>
      </w:r>
    </w:p>
    <w:p>
      <w:r>
        <w:t>□ Decision/Outbox와 Feedback transition이 원자적으로 연결될 계획이다.</w:t>
      </w:r>
    </w:p>
    <w:p>
      <w:r>
        <w:t>□ 0019 migration fresh/upgrade/rerun/failure rehearsal이 필요하다.</w:t>
      </w:r>
    </w:p>
    <w:p>
      <w:r>
        <w:t>□ .NET/pnpm/PostgreSQL/Playwright 미수행을 PASS로 주장하지 않는다.</w:t>
      </w:r>
    </w:p>
    <w:p>
      <w:r>
        <w:t>□ 252일 Shadow와 독립검증 전 투자일임형을 검토하지 않는다.</w:t>
      </w:r>
    </w:p>
    <w:p>
      <w:r>
        <w:t>□ Core/Full 분리로 과거 ZIP 재귀 포함을 방지한다.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r/>
            <w:r>
              <w:rPr>
                <w:rFonts w:ascii="NanumSquare" w:hAnsi="NanumSquare" w:eastAsia="NanumSquare"/>
                <w:b/>
                <w:sz w:val="20"/>
              </w:rPr>
              <w:t>최종 Go 정의</w:t>
              <w:br/>
            </w:r>
            <w:r>
              <w:rPr>
                <w:rFonts w:ascii="NanumSquare" w:hAnsi="NanumSquare" w:eastAsia="NanumSquare"/>
                <w:sz w:val="18"/>
              </w:rPr>
              <w:t>코드가 존재하는 상태가 아니라 Source→Requirement→Policy/Data→API/DB/Job/UI→Test→PR→Release Evidence가 연결되고 운영·준법 Gate가 통과된 상태다.</w:t>
            </w:r>
          </w:p>
        </w:tc>
        <w:trPr>
          <w:tblHeader/>
        </w:trPr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anumSquare" w:hAnsi="NanumSquare" w:eastAsia="NanumSquare"/>
        <w:sz w:val="15"/>
      </w:rPr>
      <w:t>RESEARCH_CANDIDATE_NOT_PRODUCTION · 투자자문형 우선 · 자동주문/KIS 제출 OFF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anumSquare" w:hAnsi="NanumSquare" w:eastAsia="NanumSquare"/>
        <w:sz w:val="16"/>
      </w:rPr>
      <w:t>K-ArtSell Aegis | v14.0 표준 UI·지속 모델 피드백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anumSquare" w:hAnsi="NanumSquare" w:eastAsia="NanumSquare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anumSquare" w:hAnsi="NanumSquare" w:eastAsia="NanumSquare"/>
      <w:b/>
      <w:bCs/>
      <w:color w:val="1F4E79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anumSquare" w:hAnsi="NanumSquare" w:eastAsia="NanumSquare"/>
      <w:b/>
      <w:bCs/>
      <w:color w:val="1F4E79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anumSquare" w:hAnsi="NanumSquare" w:eastAsia="NanumSquare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anumSquare" w:hAnsi="NanumSquare" w:eastAsia="NanumSquar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anumSquare" w:hAnsi="NanumSquare" w:eastAsia="NanumSquar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K-ArtSell Aegis v14.0 표준 UI·지속 모델 피드백 통합 고도화 제안서</dc:title>
  <dc:subject>Implementation template and governance delta</dc:subject>
  <dc:creator>K-ArtSell Aegis Project</dc:creator>
  <cp:keywords>K-ArtSell,Aegis,.NET 10,Vue 3,Quant,PIT,UI Adapter,Model Feedback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