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800"/>
        <w:jc w:val="center"/>
      </w:pPr>
      <w:r>
        <w:rPr>
          <w:rFonts w:ascii="Noto Sans CJK KR" w:hAnsi="Noto Sans CJK KR" w:eastAsia="Noto Sans CJK KR"/>
          <w:b/>
          <w:color w:val="17365D"/>
          <w:sz w:val="56"/>
        </w:rPr>
        <w:t>K-ArtSell Aegis</w:t>
      </w:r>
    </w:p>
    <w:p>
      <w:pPr>
        <w:jc w:val="center"/>
      </w:pPr>
      <w:r>
        <w:rPr>
          <w:rFonts w:ascii="Noto Sans CJK KR" w:hAnsi="Noto Sans CJK KR" w:eastAsia="Noto Sans CJK KR"/>
          <w:b/>
          <w:color w:val="2F75B5"/>
          <w:sz w:val="44"/>
        </w:rPr>
        <w:t>전략적 누적 통합 고도화 제안서 v12.2</w:t>
      </w:r>
    </w:p>
    <w:p>
      <w:pPr>
        <w:spacing w:before="360"/>
        <w:jc w:val="center"/>
      </w:pPr>
      <w:r>
        <w:rPr>
          <w:rFonts w:ascii="Noto Sans CJK KR" w:hAnsi="Noto Sans CJK KR" w:eastAsia="Noto Sans CJK KR"/>
          <w:sz w:val="22"/>
        </w:rPr>
        <w:t>알고리즘 · 데이터 정합성 · SOLID/리팩터링 · BE/FE · 상세 WBS · .NET 10/Vue 기본 템플릿</w:t>
      </w:r>
    </w:p>
    <w:p>
      <w:pPr>
        <w:spacing w:after="80" w:line="269" w:lineRule="auto"/>
        <w:jc w:val="center"/>
      </w:pPr>
      <w:r>
        <w:rPr>
          <w:rFonts w:ascii="Noto Sans CJK KR" w:hAnsi="Noto Sans CJK KR" w:eastAsia="Noto Sans CJK KR"/>
          <w:sz w:val="20"/>
        </w:rPr>
        <w:t>기준일 2026-08-02</w:t>
      </w:r>
    </w:p>
    <w:p>
      <w:pPr>
        <w:spacing w:after="120" w:line="269" w:lineRule="auto" w:before="80"/>
        <w:ind w:left="115" w:right="115"/>
        <w:jc w:val="center"/>
        <w:shd w:fill="FFF2CC"/>
      </w:pPr>
      <w:r>
        <w:rPr>
          <w:rFonts w:ascii="Noto Sans CJK KR" w:hAnsi="Noto Sans CJK KR" w:eastAsia="Noto Sans CJK KR"/>
          <w:sz w:val="20"/>
        </w:rPr>
        <w:t>문서 상태: IMPLEMENTATION_TEMPLATE / STATIC_VALIDATED / BUILD_AND_DB_REHEARSAL_REQUIRED</w:t>
      </w:r>
    </w:p>
    <w:p>
      <w:pPr>
        <w:spacing w:after="120" w:line="269" w:lineRule="auto" w:before="80"/>
        <w:ind w:left="115" w:right="115"/>
        <w:jc w:val="center"/>
        <w:shd w:fill="E2F0D9"/>
      </w:pPr>
      <w:r>
        <w:rPr>
          <w:rFonts w:ascii="Noto Sans CJK KR" w:hAnsi="Noto Sans CJK KR" w:eastAsia="Noto Sans CJK KR"/>
          <w:sz w:val="20"/>
        </w:rPr>
        <w:t>운영 경계: 투자자문형 우선 · 자동주문/KIS 제출 OFF · 연구후보 알고리즘</w:t>
      </w:r>
    </w:p>
    <w:p>
      <w:r>
        <w:br w:type="page"/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0. 문서 통제와 누적 비회귀</w:t>
      </w:r>
    </w:p>
    <w:p>
      <w:pPr>
        <w:spacing w:after="120" w:line="269" w:lineRule="auto" w:before="80"/>
        <w:shd w:fill="E2F0D9"/>
        <w:ind w:left="115" w:right="115"/>
      </w:pPr>
      <w:r>
        <w:rPr>
          <w:rFonts w:ascii="Noto Sans CJK KR" w:hAnsi="Noto Sans CJK KR" w:eastAsia="Noto Sans CJK KR"/>
          <w:sz w:val="19"/>
        </w:rPr>
        <w:t>v12.2는 기존 자료를 대체하는 독립 요약본이 아니다. v10.0의 Baseline Preservation + Delta + Supersession + Traceability 원칙을 유지하고, 현재 첨부 6개와 직전 v12.1 패키지를 원본 그대로 보존한다.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144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기준선</w:t>
            </w:r>
          </w:p>
        </w:tc>
        <w:tc>
          <w:tcPr>
            <w:tcW w:type="dxa" w:w="144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331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보존 범위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v12.2 처리</w:t>
            </w:r>
          </w:p>
        </w:tc>
      </w:tr>
      <w:tr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K-ArtSell 12.2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RETAINED</w:t>
            </w:r>
          </w:p>
        </w:tc>
        <w:tc>
          <w:tcPr>
            <w:tcW w:type="dxa" w:w="331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정량 감사·연구 코드·CSV·구성안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연구후보 근거; 생산 승격 단독근거 금지</w:t>
            </w:r>
          </w:p>
        </w:tc>
      </w:tr>
      <w:tr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v10.0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RETAINED</w:t>
            </w:r>
          </w:p>
        </w:tc>
        <w:tc>
          <w:tcPr>
            <w:tcW w:type="dxa" w:w="331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47개 장·26 Slice·16 Sprint·Gate·36개월 운영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최상위 안전·비회귀 기준</w:t>
            </w:r>
          </w:p>
        </w:tc>
      </w:tr>
      <w:tr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v11/v11.1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RETAINED</w:t>
            </w:r>
          </w:p>
        </w:tc>
        <w:tc>
          <w:tcPr>
            <w:tcW w:type="dxa" w:w="331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walking skeleton·보안·불변성 hardening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유효 코드·문서 보존</w:t>
            </w:r>
          </w:p>
        </w:tc>
      </w:tr>
      <w:tr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v12.1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RETAINED</w:t>
            </w:r>
          </w:p>
        </w:tc>
        <w:tc>
          <w:tcPr>
            <w:tcW w:type="dxa" w:w="331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202 WBS·실행준비 템플릿·Source Matrix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직전 기준선; v12.2 Delta 적용</w:t>
            </w:r>
          </w:p>
        </w:tc>
      </w:tr>
      <w:tr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v12.2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CURRENT</w:t>
            </w:r>
          </w:p>
        </w:tc>
        <w:tc>
          <w:tcPr>
            <w:tcW w:type="dxa" w:w="331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Lot/종목 비중 교정·정책 trace·231 WBS·현재 첨부 6개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현재 패키지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0.1 충돌 해결</w:t>
      </w: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자동주문 OFF, 고객보호, PIT, 불변 Evidence, 감사, 재현성처럼 더 엄격한 통제가 우선한다. 자료로 판단할 수 없는 항목은 DECISION_REQUIRED로 차단하며 코드 기본값으로 추정하지 않는다.</w:t>
      </w: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0.2 현재 첨부 원본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46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첨부</w:t>
            </w:r>
          </w:p>
        </w:tc>
        <w:tc>
          <w:tcPr>
            <w:tcW w:type="dxa" w:w="144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용량</w:t>
            </w:r>
          </w:p>
        </w:tc>
        <w:tc>
          <w:tcPr>
            <w:tcW w:type="dxa" w:w="446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역할</w:t>
            </w:r>
          </w:p>
        </w:tc>
      </w:tr>
      <w:tr>
        <w:tc>
          <w:tcPr>
            <w:tcW w:type="dxa" w:w="46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K-ArtSell_12_2_complete_package(1).zip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2,513,047</w:t>
            </w:r>
          </w:p>
        </w:tc>
        <w:tc>
          <w:tcPr>
            <w:tcW w:type="dxa" w:w="44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연구 코드·CSV·정량 감사·구성안</w:t>
            </w:r>
          </w:p>
        </w:tc>
      </w:tr>
      <w:tr>
        <w:tc>
          <w:tcPr>
            <w:tcW w:type="dxa" w:w="46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K-ArtSell_Aegis_v12_1_실행준비_통합고도화_제안서(1).docx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64,063</w:t>
            </w:r>
          </w:p>
        </w:tc>
        <w:tc>
          <w:tcPr>
            <w:tcW w:type="dxa" w:w="44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v12.1 실행준비 통합 제안서</w:t>
            </w:r>
          </w:p>
        </w:tc>
      </w:tr>
      <w:tr>
        <w:tc>
          <w:tcPr>
            <w:tcW w:type="dxa" w:w="46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K-ArtSell_퀀트투자자문_SI_본프로그램착수_누적고도화_통합실행기준서_v10.0(1).docx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402,134</w:t>
            </w:r>
          </w:p>
        </w:tc>
        <w:tc>
          <w:tcPr>
            <w:tcW w:type="dxa" w:w="44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최상위 누적 실행기준서</w:t>
            </w:r>
          </w:p>
        </w:tc>
      </w:tr>
      <w:tr>
        <w:tc>
          <w:tcPr>
            <w:tcW w:type="dxa" w:w="46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KArtSell_Aegis_v11_1_hardening(1).zip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89,397</w:t>
            </w:r>
          </w:p>
        </w:tc>
        <w:tc>
          <w:tcPr>
            <w:tcW w:type="dxa" w:w="44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보안·불변성·기술부채 hardening delta</w:t>
            </w:r>
          </w:p>
        </w:tc>
      </w:tr>
      <w:tr>
        <w:tc>
          <w:tcPr>
            <w:tcW w:type="dxa" w:w="46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KArtSell_Aegis_v12_1_execution_ready_complete(1).zip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28,233,180</w:t>
            </w:r>
          </w:p>
        </w:tc>
        <w:tc>
          <w:tcPr>
            <w:tcW w:type="dxa" w:w="44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직전 실행준비 통합 패키지 baseline</w:t>
            </w:r>
          </w:p>
        </w:tc>
      </w:tr>
      <w:tr>
        <w:tc>
          <w:tcPr>
            <w:tcW w:type="dxa" w:w="46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KArtSell_v11_implementation_acceleration(1).zip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56,738</w:t>
            </w:r>
          </w:p>
        </w:tc>
        <w:tc>
          <w:tcPr>
            <w:tcW w:type="dxa" w:w="44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최초 .NET/Vue walking skeleton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1. 경영진 결론과 전략 우선순위</w:t>
      </w:r>
    </w:p>
    <w:p>
      <w:pPr>
        <w:spacing w:after="120" w:line="269" w:lineRule="auto" w:before="80"/>
        <w:shd w:fill="E2F0D9"/>
        <w:ind w:left="115" w:right="115"/>
      </w:pPr>
      <w:r>
        <w:rPr>
          <w:rFonts w:ascii="Noto Sans CJK KR" w:hAnsi="Noto Sans CJK KR" w:eastAsia="Noto Sans CJK KR"/>
          <w:sz w:val="19"/>
        </w:rPr>
        <w:t>최종 결론: 생산준비도는 화면 수가 아니라 Source/License → PIT/Revision/DQ → Evidence/VersionSet → Sell/Reentry → Recommendation → Maker-Checker → Publish → Outcome → Reconciliation/DR의 완결성으로 판단한다.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158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영역</w:t>
            </w:r>
          </w:p>
        </w:tc>
        <w:tc>
          <w:tcPr>
            <w:tcW w:type="dxa" w:w="46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v12.2 전략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과유불급 통제</w:t>
            </w:r>
          </w:p>
        </w:tc>
      </w:tr>
      <w:tr>
        <w:tc>
          <w:tcPr>
            <w:tcW w:type="dxa" w:w="158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제품</w:t>
            </w:r>
          </w:p>
        </w:tc>
        <w:tc>
          <w:tcPr>
            <w:tcW w:type="dxa" w:w="46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투자자문형 MVP→Shadow→Pilot 순서 고정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자동주문·일임형 선구현 금지</w:t>
            </w:r>
          </w:p>
        </w:tc>
      </w:tr>
      <w:tr>
        <w:tc>
          <w:tcPr>
            <w:tcW w:type="dxa" w:w="158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알고리즘</w:t>
            </w:r>
          </w:p>
        </w:tc>
        <w:tc>
          <w:tcPr>
            <w:tcW w:type="dxa" w:w="46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매도·재진입 우선순위 상태기계, 단위·trace 계약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적중률 단독 최적화 금지</w:t>
            </w:r>
          </w:p>
        </w:tc>
      </w:tr>
      <w:tr>
        <w:tc>
          <w:tcPr>
            <w:tcW w:type="dxa" w:w="158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아키텍처</w:t>
            </w:r>
          </w:p>
        </w:tc>
        <w:tc>
          <w:tcPr>
            <w:tcW w:type="dxa" w:w="46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Modular Monolith+Vertical Slice+Fitness Function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조기 microservice·Generic Repository 금지</w:t>
            </w:r>
          </w:p>
        </w:tc>
      </w:tr>
      <w:tr>
        <w:tc>
          <w:tcPr>
            <w:tcW w:type="dxa" w:w="158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데이터</w:t>
            </w:r>
          </w:p>
        </w:tc>
        <w:tc>
          <w:tcPr>
            <w:tcW w:type="dxa" w:w="46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Raw/PIT/DQ/Evidence/Ledger/Read Model 분리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현재값 overwrite·룩어헤드 금지</w:t>
            </w:r>
          </w:p>
        </w:tc>
      </w:tr>
      <w:tr>
        <w:tc>
          <w:tcPr>
            <w:tcW w:type="dxa" w:w="158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BE</w:t>
            </w:r>
          </w:p>
        </w:tc>
        <w:tc>
          <w:tcPr>
            <w:tcW w:type="dxa" w:w="46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서버 PIT Context·멱등 transaction·Outbox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클라이언트 Evidence 신뢰 금지</w:t>
            </w:r>
          </w:p>
        </w:tc>
      </w:tr>
      <w:tr>
        <w:tc>
          <w:tcPr>
            <w:tcW w:type="dxa" w:w="158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FE</w:t>
            </w:r>
          </w:p>
        </w:tc>
        <w:tc>
          <w:tcPr>
            <w:tcW w:type="dxa" w:w="46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Zod runtime contract·상태 책임 분리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DTO 중복·전역 Pinia 남용 금지</w:t>
            </w:r>
          </w:p>
        </w:tc>
      </w:tr>
      <w:tr>
        <w:tc>
          <w:tcPr>
            <w:tcW w:type="dxa" w:w="158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운영</w:t>
            </w:r>
          </w:p>
        </w:tc>
        <w:tc>
          <w:tcPr>
            <w:tcW w:type="dxa" w:w="46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JobRun/Watermark/Inbox/Rebuild/Runbook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blind retry·수동 DB 정정 금지</w:t>
            </w:r>
          </w:p>
        </w:tc>
      </w:tr>
      <w:tr>
        <w:tc>
          <w:tcPr>
            <w:tcW w:type="dxa" w:w="158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개발방식</w:t>
            </w:r>
          </w:p>
        </w:tc>
        <w:tc>
          <w:tcPr>
            <w:tcW w:type="dxa" w:w="46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Source/Assumption/Unknown/Decision Required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미실행 검증 PASS 주장 금지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1.1 P0 우선순위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.NET/pnpm/PostgreSQL 실빌드와 migration 4시나리오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PIT 총수익·상폐·기업행사·Fee/Tax/FX·라이선스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Lot/종목 비중 교정과 C#↔Python Golden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Outbox/Inbox crash·replay, maker-checker, immutable publish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252거래일 Shadow, PBO/DSR, 복수 국면 OOS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OIDC/JWT, SLO/RPO/RTO, DR, kill-switch</w:t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2. 첨부 연구 감사와 증거 수준</w:t>
      </w:r>
    </w:p>
    <w:p>
      <w:pPr>
        <w:spacing w:after="120" w:line="269" w:lineRule="auto" w:before="80"/>
        <w:shd w:fill="FFF2CC"/>
        <w:ind w:left="115" w:right="115"/>
      </w:pPr>
      <w:r>
        <w:rPr>
          <w:rFonts w:ascii="Noto Sans CJK KR" w:hAnsi="Noto Sans CJK KR" w:eastAsia="Noto Sans CJK KR"/>
          <w:sz w:val="19"/>
        </w:rPr>
        <w:t>첨부 연구는 정책 후보와 Golden 회귀 기준을 제공한다. 그러나 미국·한국 표본의 데이터 범위, 자산 수, 총수익·상폐·PIT 재무/컨센서스·세금/FX의 완전성 한계 때문에 생산 성과 주장에는 사용할 수 없다.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88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표본/전략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CAGR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MDD</w:t>
            </w:r>
          </w:p>
        </w:tc>
        <w:tc>
          <w:tcPr>
            <w:tcW w:type="dxa" w:w="129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연 회전율</w:t>
            </w:r>
          </w:p>
        </w:tc>
        <w:tc>
          <w:tcPr>
            <w:tcW w:type="dxa" w:w="403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해석</w:t>
            </w:r>
          </w:p>
        </w:tc>
      </w:tr>
      <w:tr>
        <w:tc>
          <w:tcPr>
            <w:tcW w:type="dxa" w:w="288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미국 Core 6 Buy&amp;Hold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24.31%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-77.31%</w:t>
            </w:r>
          </w:p>
        </w:tc>
        <w:tc>
          <w:tcPr>
            <w:tcW w:type="dxa" w:w="129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0.00</w:t>
            </w:r>
          </w:p>
        </w:tc>
        <w:tc>
          <w:tcPr>
            <w:tcW w:type="dxa" w:w="403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높은 수익·극단적 낙폭</w:t>
            </w:r>
          </w:p>
        </w:tc>
      </w:tr>
      <w:tr>
        <w:tc>
          <w:tcPr>
            <w:tcW w:type="dxa" w:w="288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미국 v12 후보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18.23%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-37.30%</w:t>
            </w:r>
          </w:p>
        </w:tc>
        <w:tc>
          <w:tcPr>
            <w:tcW w:type="dxa" w:w="129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1.51</w:t>
            </w:r>
          </w:p>
        </w:tc>
        <w:tc>
          <w:tcPr>
            <w:tcW w:type="dxa" w:w="403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v11 대비 회전율·MDD 개선, CAGR 희생</w:t>
            </w:r>
          </w:p>
        </w:tc>
      </w:tr>
      <w:tr>
        <w:tc>
          <w:tcPr>
            <w:tcW w:type="dxa" w:w="288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미국 v12+Capital Floor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15.98%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-27.44%</w:t>
            </w:r>
          </w:p>
        </w:tc>
        <w:tc>
          <w:tcPr>
            <w:tcW w:type="dxa" w:w="129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3.39</w:t>
            </w:r>
          </w:p>
        </w:tc>
        <w:tc>
          <w:tcPr>
            <w:tcW w:type="dxa" w:w="403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생존성 개선·수익 희생</w:t>
            </w:r>
          </w:p>
        </w:tc>
      </w:tr>
      <w:tr>
        <w:tc>
          <w:tcPr>
            <w:tcW w:type="dxa" w:w="288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한국 3종 Buy&amp;Hold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15.97%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-74.69%</w:t>
            </w:r>
          </w:p>
        </w:tc>
        <w:tc>
          <w:tcPr>
            <w:tcW w:type="dxa" w:w="129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0.00</w:t>
            </w:r>
          </w:p>
        </w:tc>
        <w:tc>
          <w:tcPr>
            <w:tcW w:type="dxa" w:w="403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2021-04-16 종료</w:t>
            </w:r>
          </w:p>
        </w:tc>
      </w:tr>
      <w:tr>
        <w:tc>
          <w:tcPr>
            <w:tcW w:type="dxa" w:w="288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한국 v12 후보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10.36%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-50.20%</w:t>
            </w:r>
          </w:p>
        </w:tc>
        <w:tc>
          <w:tcPr>
            <w:tcW w:type="dxa" w:w="129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1.49</w:t>
            </w:r>
          </w:p>
        </w:tc>
        <w:tc>
          <w:tcPr>
            <w:tcW w:type="dxa" w:w="403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개선은 제한적·최근 국면 공백</w:t>
            </w:r>
          </w:p>
        </w:tc>
      </w:tr>
      <w:tr>
        <w:tc>
          <w:tcPr>
            <w:tcW w:type="dxa" w:w="288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한국 v12+Capital Floor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6.64%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-35.16%</w:t>
            </w:r>
          </w:p>
        </w:tc>
        <w:tc>
          <w:tcPr>
            <w:tcW w:type="dxa" w:w="129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3.85</w:t>
            </w:r>
          </w:p>
        </w:tc>
        <w:tc>
          <w:tcPr>
            <w:tcW w:type="dxa" w:w="403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MDD 축소·기대수익 크게 감소</w:t>
            </w:r>
          </w:p>
        </w:tc>
      </w:tr>
    </w:tbl>
    <w:p>
      <w:pPr>
        <w:spacing w:after="0"/>
      </w:pPr>
    </w:p>
    <w:p>
      <w:pPr>
        <w:spacing w:after="120" w:line="269" w:lineRule="auto" w:before="80"/>
        <w:shd w:fill="FCE4D6"/>
        <w:ind w:left="115" w:right="115"/>
      </w:pPr>
      <w:r>
        <w:rPr>
          <w:rFonts w:ascii="Noto Sans CJK KR" w:hAnsi="Noto Sans CJK KR" w:eastAsia="Noto Sans CJK KR"/>
          <w:sz w:val="19"/>
        </w:rPr>
        <w:t>중요: 연구 CSV의 63일 false-exit 비율과 운영 문서의 “연 2% 이하” 목표는 정의·집계주기가 직접 일치하지 않는다. v12.2는 MetricDefinitionVersion을 추가하고 목표 충족을 주장하지 않는다.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547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잔여 위험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등급</w:t>
            </w:r>
          </w:p>
        </w:tc>
        <w:tc>
          <w:tcPr>
            <w:tcW w:type="dxa" w:w="17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차단 Gate</w:t>
            </w:r>
          </w:p>
        </w:tc>
      </w:tr>
      <w:tr>
        <w:tc>
          <w:tcPr>
            <w:tcW w:type="dxa" w:w="547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한국 검증 종료 2021-04-16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G4</w:t>
            </w:r>
          </w:p>
        </w:tc>
      </w:tr>
      <w:tr>
        <w:tc>
          <w:tcPr>
            <w:tcW w:type="dxa" w:w="547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원시 데이터 권리·checksum·환경 lock 미완전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G1</w:t>
            </w:r>
          </w:p>
        </w:tc>
      </w:tr>
      <w:tr>
        <w:tc>
          <w:tcPr>
            <w:tcW w:type="dxa" w:w="547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총수익·상폐·PIT 컨센서스·Fee/Tax/FX 미완전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G1/G4</w:t>
            </w:r>
          </w:p>
        </w:tc>
      </w:tr>
      <w:tr>
        <w:tc>
          <w:tcPr>
            <w:tcW w:type="dxa" w:w="547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.NET/pnpm/PostgreSQL 실검증 미실행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G0</w:t>
            </w:r>
          </w:p>
        </w:tc>
      </w:tr>
      <w:tr>
        <w:tc>
          <w:tcPr>
            <w:tcW w:type="dxa" w:w="547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PBO/DSR·Shadow 252일 미충족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G4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3. SOLID·리팩터링·구조화 원칙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10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원칙</w:t>
            </w:r>
          </w:p>
        </w:tc>
        <w:tc>
          <w:tcPr>
            <w:tcW w:type="dxa" w:w="47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현장 적용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금지 패턴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SRP</w:t>
            </w:r>
          </w:p>
        </w:tc>
        <w:tc>
          <w:tcPr>
            <w:tcW w:type="dxa" w:w="47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Endpoint=HTTP, Application=유스케이스, Policy=결정, Adapter=I/O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God Service, Job 내부 정책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OCP</w:t>
            </w:r>
          </w:p>
        </w:tc>
        <w:tc>
          <w:tcPr>
            <w:tcW w:type="dxa" w:w="47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명시적 Policy/DQ/Adapter registry와 계약 테스트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reflection plugin framework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LSP</w:t>
            </w:r>
          </w:p>
        </w:tc>
        <w:tc>
          <w:tcPr>
            <w:tcW w:type="dxa" w:w="47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Adapter 교체 시 시점·단위·오류·멱등 contract test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mock 성공만으로 승인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ISP</w:t>
            </w:r>
          </w:p>
        </w:tc>
        <w:tc>
          <w:tcPr>
            <w:tcW w:type="dxa" w:w="47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IClock, ContextReader, SourceAdapter 등 좁은 Port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범용 Repository·대형 Interface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DIP</w:t>
            </w:r>
          </w:p>
        </w:tc>
        <w:tc>
          <w:tcPr>
            <w:tcW w:type="dxa" w:w="47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Domain은 FastEndpoints/Dapper/Npgsql/Hangfire를 모름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Infrastructure 타입 침투</w:t>
            </w:r>
          </w:p>
        </w:tc>
      </w:tr>
    </w:tbl>
    <w:p>
      <w:pPr>
        <w:spacing w:after="0"/>
      </w:pP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동작보존 리팩터링과 정책/수식 변경은 별도 PR로 분리한다. Characterization/Golden test를 먼저 만들고, 중복은 의미와 변경축이 같을 때만 추상화한다.</w:t>
      </w: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3.1 Architecture Fitness Function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Domain framework dependency 0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모듈 간 직접 DB schema 접근 0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Generic Repository 0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Endpoint 권한 선언 누락 0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자동주문/KIS capability true 0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Migration 번호 중복·역행 0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문서/DDL/OpenAPI/Test diff 미검토 0</w:t>
      </w: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3.2 템플릿 적용</w:t>
      </w: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활성 솔루션에 미구현 모듈을 대량 생성하지 않는다. 대신 `templates/dotnet`, `templates/vue`, `templates/sql`, `templates/hangfire`를 사용해 Ready된 Slice만 생성한다. 이것이 과도한 골격·가짜 구현·기술부채를 줄이는 정공법이다.</w:t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4. 매도·재진입 알고리즘 고도화</w:t>
      </w:r>
    </w:p>
    <w:p>
      <w:pPr>
        <w:spacing w:after="120" w:line="269" w:lineRule="auto" w:before="80"/>
        <w:shd w:fill="E2F0D9"/>
        <w:ind w:left="115" w:right="115"/>
      </w:pPr>
      <w:r>
        <w:rPr>
          <w:rFonts w:ascii="Noto Sans CJK KR" w:hAnsi="Noto Sans CJK KR" w:eastAsia="Noto Sans CJK KR"/>
          <w:sz w:val="19"/>
        </w:rPr>
        <w:t>고정 우선순위: HARD_IMPAIRMENT → PORTFOLIO_SURVIVAL → DYNAMIC_PROFIT_FLOOR → CONCENTRATION/LIQUIDITY → OPPORTUNITY_COST → REENTRY_OPTION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01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정책</w:t>
            </w:r>
          </w:p>
        </w:tc>
        <w:tc>
          <w:tcPr>
            <w:tcW w:type="dxa" w:w="302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조건</w:t>
            </w:r>
          </w:p>
        </w:tc>
        <w:tc>
          <w:tcPr>
            <w:tcW w:type="dxa" w:w="201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행동</w:t>
            </w:r>
          </w:p>
        </w:tc>
        <w:tc>
          <w:tcPr>
            <w:tcW w:type="dxa" w:w="331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불변조건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ALG-SELL-001</w:t>
            </w:r>
          </w:p>
        </w:tc>
        <w:tc>
          <w:tcPr>
            <w:tcW w:type="dxa" w:w="30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승인된 영구가치훼손</w:t>
            </w:r>
          </w:p>
        </w:tc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80~100% 매도</w:t>
            </w:r>
          </w:p>
        </w:tc>
        <w:tc>
          <w:tcPr>
            <w:tcW w:type="dxa" w:w="331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하위 점수 상쇄·자동재진입 금지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ALG-SELL-PORT-001</w:t>
            </w:r>
          </w:p>
        </w:tc>
        <w:tc>
          <w:tcPr>
            <w:tcW w:type="dxa" w:w="30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자본바닥/생존 위반</w:t>
            </w:r>
          </w:p>
        </w:tc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위험예산 축소</w:t>
            </w:r>
          </w:p>
        </w:tc>
        <w:tc>
          <w:tcPr>
            <w:tcW w:type="dxa" w:w="331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필요 시 Core 하회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ALG-SELL-002</w:t>
            </w:r>
          </w:p>
        </w:tc>
        <w:tc>
          <w:tcPr>
            <w:tcW w:type="dxa" w:w="30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보호선 1.5 ATR 갭 이탈</w:t>
            </w:r>
          </w:p>
        </w:tc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Lot 30~50%</w:t>
            </w:r>
          </w:p>
        </w:tc>
        <w:tc>
          <w:tcPr>
            <w:tcW w:type="dxa" w:w="331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Core 보존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ALG-SELL-003</w:t>
            </w:r>
          </w:p>
        </w:tc>
        <w:tc>
          <w:tcPr>
            <w:tcW w:type="dxa" w:w="30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2개 종가 연속 이탈</w:t>
            </w:r>
          </w:p>
        </w:tc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Lot 15~25%</w:t>
            </w:r>
          </w:p>
        </w:tc>
        <w:tc>
          <w:tcPr>
            <w:tcW w:type="dxa" w:w="331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cooldown·중복방지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ALG-SELL-004</w:t>
            </w:r>
          </w:p>
        </w:tc>
        <w:tc>
          <w:tcPr>
            <w:tcW w:type="dxa" w:w="30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집중/유동성 초과</w:t>
            </w:r>
          </w:p>
        </w:tc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초과분+버퍼</w:t>
            </w:r>
          </w:p>
        </w:tc>
        <w:tc>
          <w:tcPr>
            <w:tcW w:type="dxa" w:w="331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단일/섹터/클러스터/ADV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ALG-SELL-005</w:t>
            </w:r>
          </w:p>
        </w:tc>
        <w:tc>
          <w:tcPr>
            <w:tcW w:type="dxa" w:w="30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비용후 교체우위 하단&gt;0</w:t>
            </w:r>
          </w:p>
        </w:tc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Lot 10~25%</w:t>
            </w:r>
          </w:p>
        </w:tc>
        <w:tc>
          <w:tcPr>
            <w:tcW w:type="dxa" w:w="331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Fee/Tax/FX/슬리피지 PIT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4.1 v12.2 핵심 데이터 의미 교정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88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필드</w:t>
            </w:r>
          </w:p>
        </w:tc>
        <w:tc>
          <w:tcPr>
            <w:tcW w:type="dxa" w:w="504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의미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단위</w:t>
            </w:r>
          </w:p>
        </w:tc>
      </w:tr>
      <w:tr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CurrentSecurityPortfolioWeight</w:t>
            </w:r>
          </w:p>
        </w:tc>
        <w:tc>
          <w:tcPr>
            <w:tcW w:type="dxa" w:w="50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종목 전체 현재 절대비중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0~1</w:t>
            </w:r>
          </w:p>
        </w:tc>
      </w:tr>
      <w:tr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CurrentLotPortfolioWeight</w:t>
            </w:r>
          </w:p>
        </w:tc>
        <w:tc>
          <w:tcPr>
            <w:tcW w:type="dxa" w:w="50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대상 Lot의 절대비중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0~1</w:t>
            </w:r>
          </w:p>
        </w:tc>
      </w:tr>
      <w:tr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SellRatioOfLot</w:t>
            </w:r>
          </w:p>
        </w:tc>
        <w:tc>
          <w:tcPr>
            <w:tcW w:type="dxa" w:w="50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Lot 수량 중 매도 비율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0~1</w:t>
            </w:r>
          </w:p>
        </w:tc>
      </w:tr>
      <w:tr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StrategicCoreFloorWeight</w:t>
            </w:r>
          </w:p>
        </w:tc>
        <w:tc>
          <w:tcPr>
            <w:tcW w:type="dxa" w:w="50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종목 전체 보존 절대비중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0~1</w:t>
            </w:r>
          </w:p>
        </w:tc>
      </w:tr>
      <w:tr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TargetSecurityPortfolioWeightAfter</w:t>
            </w:r>
          </w:p>
        </w:tc>
        <w:tc>
          <w:tcPr>
            <w:tcW w:type="dxa" w:w="50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매도 후 종목 전체 예상비중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0~1</w:t>
            </w:r>
          </w:p>
        </w:tc>
      </w:tr>
    </w:tbl>
    <w:p>
      <w:pPr>
        <w:spacing w:after="0"/>
      </w:pPr>
    </w:p>
    <w:p>
      <w:pPr>
        <w:spacing w:after="120" w:line="269" w:lineRule="auto" w:before="80"/>
        <w:shd w:fill="FFF2CC"/>
        <w:ind w:left="115" w:right="115"/>
      </w:pPr>
      <w:r>
        <w:rPr>
          <w:rFonts w:ascii="Noto Sans CJK KR" w:hAnsi="Noto Sans CJK KR" w:eastAsia="Noto Sans CJK KR"/>
          <w:sz w:val="19"/>
        </w:rPr>
        <w:t>계산: TargetSecurityPortfolioWeightAfter = CurrentSecurityPortfolioWeight - CurrentLotPortfolioWeight × SellRatioOfLot. 기존처럼 Lot 비율을 종목 전체 비중에 곱하면 여러 Lot을 가진 계좌에서 목표비중이 왜곡될 수 있다.</w:t>
      </w: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4.2 정책 추적</w:t>
      </w: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최종 정책만 저장하지 않고 각 정책의 Applied/Blocked/NotApplicable, 요청·적용 Lot 비율, Core clamp 여부를 순서대로 저장한다. 정책 trace는 내부 감사·회귀·재현성용이며 고객에게 원시 내부점수로 노출하지 않는다.</w:t>
      </w: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4.3 재진입 계약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201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항목</w:t>
            </w:r>
          </w:p>
        </w:tc>
        <w:tc>
          <w:tcPr>
            <w:tcW w:type="dxa" w:w="806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계약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대상</w:t>
            </w:r>
          </w:p>
        </w:tc>
        <w:tc>
          <w:tcPr>
            <w:tcW w:type="dxa" w:w="80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비가치훼손 soft sell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대기</w:t>
            </w:r>
          </w:p>
        </w:tc>
        <w:tc>
          <w:tcPr>
            <w:tcW w:type="dxa" w:w="80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최소 10거래일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기본 조건</w:t>
            </w:r>
          </w:p>
        </w:tc>
        <w:tc>
          <w:tcPr>
            <w:tcW w:type="dxa" w:w="80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상승 SMA50 + 직전 20일 고점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단계 간격</w:t>
            </w:r>
          </w:p>
        </w:tc>
        <w:tc>
          <w:tcPr>
            <w:tcW w:type="dxa" w:w="80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10거래일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만료</w:t>
            </w:r>
          </w:p>
        </w:tc>
        <w:tc>
          <w:tcPr>
            <w:tcW w:type="dxa" w:w="80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126거래일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실행</w:t>
            </w:r>
          </w:p>
        </w:tc>
        <w:tc>
          <w:tcPr>
            <w:tcW w:type="dxa" w:w="80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새 CycleId·새 Lot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중복</w:t>
            </w:r>
          </w:p>
        </w:tc>
        <w:tc>
          <w:tcPr>
            <w:tcW w:type="dxa" w:w="80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unique(watch, stage)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금지</w:t>
            </w:r>
          </w:p>
        </w:tc>
        <w:tc>
          <w:tcPr>
            <w:tcW w:type="dxa" w:w="80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Hard impairment 자동 재진입, 이전 Cycle 상태 재사용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5. 데이터 정합성·정규화·역정규화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10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계층</w:t>
            </w:r>
          </w:p>
        </w:tc>
        <w:tc>
          <w:tcPr>
            <w:tcW w:type="dxa" w:w="489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내용</w:t>
            </w:r>
          </w:p>
        </w:tc>
        <w:tc>
          <w:tcPr>
            <w:tcW w:type="dxa" w:w="417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불변조건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L0</w:t>
            </w:r>
          </w:p>
        </w:tc>
        <w:tc>
          <w:tcPr>
            <w:tcW w:type="dxa" w:w="489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Source catalog/license/SLA/schema</w:t>
            </w:r>
          </w:p>
        </w:tc>
        <w:tc>
          <w:tcPr>
            <w:tcW w:type="dxa" w:w="417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승인 없는 source 금지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L1</w:t>
            </w:r>
          </w:p>
        </w:tc>
        <w:tc>
          <w:tcPr>
            <w:tcW w:type="dxa" w:w="489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Raw payload/hash/event/published/ingested</w:t>
            </w:r>
          </w:p>
        </w:tc>
        <w:tc>
          <w:tcPr>
            <w:tcW w:type="dxa" w:w="417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append-only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L2</w:t>
            </w:r>
          </w:p>
        </w:tc>
        <w:tc>
          <w:tcPr>
            <w:tcW w:type="dxa" w:w="489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Canonical PIT 가격/CA/재무/비용</w:t>
            </w:r>
          </w:p>
        </w:tc>
        <w:tc>
          <w:tcPr>
            <w:tcW w:type="dxa" w:w="417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revision·valid time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L3</w:t>
            </w:r>
          </w:p>
        </w:tc>
        <w:tc>
          <w:tcPr>
            <w:tcW w:type="dxa" w:w="489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DQ/quarantine/lineage/dataset</w:t>
            </w:r>
          </w:p>
        </w:tc>
        <w:tc>
          <w:tcPr>
            <w:tcW w:type="dxa" w:w="417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격리 추천 금지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L4</w:t>
            </w:r>
          </w:p>
        </w:tc>
        <w:tc>
          <w:tcPr>
            <w:tcW w:type="dxa" w:w="489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Feature/Forecast/Risk/Evidence</w:t>
            </w:r>
          </w:p>
        </w:tc>
        <w:tc>
          <w:tcPr>
            <w:tcW w:type="dxa" w:w="417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VersionSet SHA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L5</w:t>
            </w:r>
          </w:p>
        </w:tc>
        <w:tc>
          <w:tcPr>
            <w:tcW w:type="dxa" w:w="489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Ledger/Decision/Review/Publish/Outcome</w:t>
            </w:r>
          </w:p>
        </w:tc>
        <w:tc>
          <w:tcPr>
            <w:tcW w:type="dxa" w:w="417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append/reversal/correction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L6</w:t>
            </w:r>
          </w:p>
        </w:tc>
        <w:tc>
          <w:tcPr>
            <w:tcW w:type="dxa" w:w="489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Read Model</w:t>
            </w:r>
          </w:p>
        </w:tc>
        <w:tc>
          <w:tcPr>
            <w:tcW w:type="dxa" w:w="417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Version/Watermark/Rebuild/Stale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L7</w:t>
            </w:r>
          </w:p>
        </w:tc>
        <w:tc>
          <w:tcPr>
            <w:tcW w:type="dxa" w:w="489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Backtest/ModelCard/Release</w:t>
            </w:r>
          </w:p>
        </w:tc>
        <w:tc>
          <w:tcPr>
            <w:tcW w:type="dxa" w:w="417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artifact/environment hash</w:t>
            </w:r>
          </w:p>
        </w:tc>
      </w:tr>
    </w:tbl>
    <w:p>
      <w:pPr>
        <w:spacing w:after="0"/>
      </w:pP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원장·현금·PositionLot·Fill은 3NF와 원천 unique key를 사용한다. 정정은 UPDATE가 아니라 reversal/correction event로 처리한다. 역정규화는 화면·리포트 Read Model에서만 허용하고 ProjectionVersion, Watermark, Rebuild, Staleness를 필수화한다.</w:t>
      </w: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5.1 PIT 최소 필드</w:t>
      </w: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source_event_time, published_at, ingested_at, effective_from/to, revision_no, source_id, content_hash, quality_status, tradable_session, dataset_id</w:t>
      </w: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5.2 Golden 데이터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분할·배당·증자·합병·상폐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총수익/가격수익 구분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단위·통화·거래일 캘린더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Fee/Tax/FX valid-time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당시 유니버스·상폐수익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정정공시·재무/컨센서스 revision</w:t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6. Backend·Frontend·Hangfire 표준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201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BE 단계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책임</w:t>
            </w:r>
          </w:p>
        </w:tc>
        <w:tc>
          <w:tcPr>
            <w:tcW w:type="dxa" w:w="388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Done 증거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Endpoint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Auth/권한/Header/Validator/ProblemDetails</w:t>
            </w:r>
          </w:p>
        </w:tc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401/403/409/422·correlation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Application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멱등·transaction·PIT context·orchestration</w:t>
            </w:r>
          </w:p>
        </w:tc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중복 side effect 0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Domain Policy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순수 결정·우선순위·상태전이</w:t>
            </w:r>
          </w:p>
        </w:tc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Golden/boundary/monotonic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Infrastructure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Dapper SQL·PIT read·Adapter</w:t>
            </w:r>
          </w:p>
        </w:tc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PostgreSQL integration/contract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Outbox/Inbox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동일 transaction·lease·dead-letter·replay</w:t>
            </w:r>
          </w:p>
        </w:tc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crash/retry evidence</w:t>
            </w:r>
          </w:p>
        </w:tc>
      </w:tr>
    </w:tbl>
    <w:p>
      <w:pPr>
        <w:spacing w:after="0"/>
      </w:pP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생산형 SignalDecision Command는 PositionLotId와 AsOf 같은 최소 식별자만 받는다. Evidence/Model/Config/Data Version은 승인된 서버 PIT Context에서 조회한다. 연구 Vector Endpoint는 저장·공개·주문 흐름과 분리한다.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230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FE 상태</w:t>
            </w:r>
          </w:p>
        </w:tc>
        <w:tc>
          <w:tcPr>
            <w:tcW w:type="dxa" w:w="216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소유</w:t>
            </w:r>
          </w:p>
        </w:tc>
        <w:tc>
          <w:tcPr>
            <w:tcW w:type="dxa" w:w="576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표준</w:t>
            </w:r>
          </w:p>
        </w:tc>
      </w:tr>
      <w:tr>
        <w:tc>
          <w:tcPr>
            <w:tcW w:type="dxa" w:w="23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Server state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TanStack Query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query key/stale/invalidate/retry</w:t>
            </w:r>
          </w:p>
        </w:tc>
      </w:tr>
      <w:tr>
        <w:tc>
          <w:tcPr>
            <w:tcW w:type="dxa" w:w="23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Session/Role/UI preference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Pinia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서버 데이터 캐시 금지</w:t>
            </w:r>
          </w:p>
        </w:tc>
      </w:tr>
      <w:tr>
        <w:tc>
          <w:tcPr>
            <w:tcW w:type="dxa" w:w="23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Form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vee-validate+Zod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request/response runtime validation</w:t>
            </w:r>
          </w:p>
        </w:tc>
      </w:tr>
      <w:tr>
        <w:tc>
          <w:tcPr>
            <w:tcW w:type="dxa" w:w="23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URL 공유상태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vue-router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필터·페이지·탭 deep link</w:t>
            </w:r>
          </w:p>
        </w:tc>
      </w:tr>
      <w:tr>
        <w:tc>
          <w:tcPr>
            <w:tcW w:type="dxa" w:w="23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대량 목록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AG Grid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server-side model</w:t>
            </w:r>
          </w:p>
        </w:tc>
      </w:tr>
      <w:tr>
        <w:tc>
          <w:tcPr>
            <w:tcW w:type="dxa" w:w="23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공통 UI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QueryState/Permission/EvidenceVersion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3회 반복 후 승격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6.1 Queue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216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Queue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책임</w:t>
            </w:r>
          </w:p>
        </w:tc>
        <w:tc>
          <w:tcPr>
            <w:tcW w:type="dxa" w:w="388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표준 키</w:t>
            </w:r>
          </w:p>
        </w:tc>
      </w:tr>
      <w:tr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q-control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승격·Capability·운영통제</w:t>
            </w:r>
          </w:p>
        </w:tc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scope/actor/version</w:t>
            </w:r>
          </w:p>
        </w:tc>
      </w:tr>
      <w:tr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q-market-data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시세·FX·기업행사</w:t>
            </w:r>
          </w:p>
        </w:tc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market/session/source/watermark</w:t>
            </w:r>
          </w:p>
        </w:tc>
      </w:tr>
      <w:tr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q-fundamentals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공시·재무·컨센서스</w:t>
            </w:r>
          </w:p>
        </w:tc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corp/published/revision</w:t>
            </w:r>
          </w:p>
        </w:tc>
      </w:tr>
      <w:tr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q-feature-risk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Feature·Forecast·Risk</w:t>
            </w:r>
          </w:p>
        </w:tc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dataset/model/config/hash</w:t>
            </w:r>
          </w:p>
        </w:tc>
      </w:tr>
      <w:tr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q-recommendation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Evidence·Decision·Recommendation</w:t>
            </w:r>
          </w:p>
        </w:tc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portfolio/session/model/idempotency</w:t>
            </w:r>
          </w:p>
        </w:tc>
      </w:tr>
      <w:tr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q-evaluation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Outcome·Scorecard</w:t>
            </w:r>
          </w:p>
        </w:tc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decision/window/revision</w:t>
            </w:r>
          </w:p>
        </w:tc>
      </w:tr>
      <w:tr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q-reconciliation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주문·체결·보유·현금 대사</w:t>
            </w:r>
          </w:p>
        </w:tc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account/session/broker</w:t>
            </w:r>
          </w:p>
        </w:tc>
      </w:tr>
      <w:tr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q-research/backfill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동결 OOS·승인 재처리</w:t>
            </w:r>
          </w:p>
        </w:tc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manifest/hash/approval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7. 프로세스 단순화·패턴화·컴포넌트화</w:t>
      </w:r>
    </w:p>
    <w:p>
      <w:pPr>
        <w:spacing w:after="120" w:line="269" w:lineRule="auto" w:before="80"/>
        <w:shd w:fill="E2F0D9"/>
        <w:ind w:left="115" w:right="115"/>
      </w:pPr>
      <w:r>
        <w:rPr>
          <w:rFonts w:ascii="Noto Sans CJK KR" w:hAnsi="Noto Sans CJK KR" w:eastAsia="Noto Sans CJK KR"/>
          <w:sz w:val="19"/>
        </w:rPr>
        <w:t>단일 Delivery Flow: Idea → Decision Required 해소 → Slice Ready → Walking Skeleton → Contract/Golden → Implement → Review → Release Evidence → Observe → Debt/Outcome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187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패턴</w:t>
            </w:r>
          </w:p>
        </w:tc>
        <w:tc>
          <w:tcPr>
            <w:tcW w:type="dxa" w:w="446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표준 구성</w:t>
            </w:r>
          </w:p>
        </w:tc>
        <w:tc>
          <w:tcPr>
            <w:tcW w:type="dxa" w:w="403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하지 않을 것</w:t>
            </w:r>
          </w:p>
        </w:tc>
      </w:tr>
      <w:tr>
        <w:tc>
          <w:tcPr>
            <w:tcW w:type="dxa" w:w="187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Command</w:t>
            </w:r>
          </w:p>
        </w:tc>
        <w:tc>
          <w:tcPr>
            <w:tcW w:type="dxa" w:w="44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Idempotency+transaction+outbox</w:t>
            </w:r>
          </w:p>
        </w:tc>
        <w:tc>
          <w:tcPr>
            <w:tcW w:type="dxa" w:w="403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Controller-Service-Repository 복제</w:t>
            </w:r>
          </w:p>
        </w:tc>
      </w:tr>
      <w:tr>
        <w:tc>
          <w:tcPr>
            <w:tcW w:type="dxa" w:w="187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Query</w:t>
            </w:r>
          </w:p>
        </w:tc>
        <w:tc>
          <w:tcPr>
            <w:tcW w:type="dxa" w:w="44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Read Model+staleness metadata</w:t>
            </w:r>
          </w:p>
        </w:tc>
        <w:tc>
          <w:tcPr>
            <w:tcW w:type="dxa" w:w="403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Write Model 직접 화면 조회</w:t>
            </w:r>
          </w:p>
        </w:tc>
      </w:tr>
      <w:tr>
        <w:tc>
          <w:tcPr>
            <w:tcW w:type="dxa" w:w="187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Batch</w:t>
            </w:r>
          </w:p>
        </w:tc>
        <w:tc>
          <w:tcPr>
            <w:tcW w:type="dxa" w:w="44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JobRun+scope/watermark+replay</w:t>
            </w:r>
          </w:p>
        </w:tc>
        <w:tc>
          <w:tcPr>
            <w:tcW w:type="dxa" w:w="403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blind retry/current overwrite</w:t>
            </w:r>
          </w:p>
        </w:tc>
      </w:tr>
      <w:tr>
        <w:tc>
          <w:tcPr>
            <w:tcW w:type="dxa" w:w="187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Data ingest</w:t>
            </w:r>
          </w:p>
        </w:tc>
        <w:tc>
          <w:tcPr>
            <w:tcW w:type="dxa" w:w="44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Raw→Canonical PIT→DQ→Dataset</w:t>
            </w:r>
          </w:p>
        </w:tc>
        <w:tc>
          <w:tcPr>
            <w:tcW w:type="dxa" w:w="403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원천 변환과 정책 혼합</w:t>
            </w:r>
          </w:p>
        </w:tc>
      </w:tr>
      <w:tr>
        <w:tc>
          <w:tcPr>
            <w:tcW w:type="dxa" w:w="187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Policy</w:t>
            </w:r>
          </w:p>
        </w:tc>
        <w:tc>
          <w:tcPr>
            <w:tcW w:type="dxa" w:w="44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ordered chain+terminal result+trace</w:t>
            </w:r>
          </w:p>
        </w:tc>
        <w:tc>
          <w:tcPr>
            <w:tcW w:type="dxa" w:w="403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하위 점수로 상위위험 상쇄</w:t>
            </w:r>
          </w:p>
        </w:tc>
      </w:tr>
      <w:tr>
        <w:tc>
          <w:tcPr>
            <w:tcW w:type="dxa" w:w="187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State machine</w:t>
            </w:r>
          </w:p>
        </w:tc>
        <w:tc>
          <w:tcPr>
            <w:tcW w:type="dxa" w:w="446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허용 transition+optimistic concurrency</w:t>
            </w:r>
          </w:p>
        </w:tc>
        <w:tc>
          <w:tcPr>
            <w:tcW w:type="dxa" w:w="403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임의 status update</w:t>
            </w:r>
          </w:p>
        </w:tc>
      </w:tr>
      <w:tr>
        <w:tc>
          <w:tcPr>
            <w:tcW w:type="dxa" w:w="187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Audit</w:t>
            </w:r>
          </w:p>
        </w:tc>
        <w:tc>
          <w:tcPr>
            <w:tcW w:type="dxa" w:w="446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append-only+hash+correction</w:t>
            </w:r>
          </w:p>
        </w:tc>
        <w:tc>
          <w:tcPr>
            <w:tcW w:type="dxa" w:w="403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감사 row 수정/삭제</w:t>
            </w:r>
          </w:p>
        </w:tc>
      </w:tr>
    </w:tbl>
    <w:p>
      <w:pPr>
        <w:spacing w:after="0"/>
      </w:pP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모든 테이블을 event sourcing하지 않는다. 모든 화면에 AG Grid를 쓰지 않는다. 모든 클래스에 interface를 만들지 않는다. CQRS/EDA를 유행어로 확대하지 않고 필요한 Command/Query 분리와 Outbox/Inbox만 적용한다.</w:t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8. 26개 Vertical Slice 실행 카탈로그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10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ID</w:t>
            </w:r>
          </w:p>
        </w:tc>
        <w:tc>
          <w:tcPr>
            <w:tcW w:type="dxa" w:w="316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Slice</w:t>
            </w:r>
          </w:p>
        </w:tc>
        <w:tc>
          <w:tcPr>
            <w:tcW w:type="dxa" w:w="17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Sprint/Gate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사용자 결과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VS-00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PlatformBootstrap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S0/G0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빌드·마이그레이션·관제 가능한 단일 배포 골격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VS-01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ManageIdentityAndRoles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S1/G1-A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MFA·RBAC·업무분장과 승인 경계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VS-02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SynchronizeSecurityMaster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S1/G1-A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상장·상폐·상품구조·거래가능성의 PIT 기준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VS-03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IngestMarketDataPIT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S2/G1-B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원시·조정 OHLCV·FX·금리의 revision 적재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VS-04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ApplyCorporateActions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S2/G1-B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분할·배당·증자·합병·상폐의 가격·수량·원가 일관성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VS-05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IngestFundamentalsPIT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S3/G1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공시·재무·컨센서스 공개시각과 정정 이력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VS-06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MaintainFeeTaxFxSchedule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S3/G1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계좌·시장·상품별 Fee/Tax/FX valid-time 계약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VS-07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ManageClientIPS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S6/MVP-A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고객 목표·위험성향·제한상품의 버전 관리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VS-08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MaintainPortfolioLedger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S3/G1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현금·체결·Lot·Cycle 불변 원장과 대사 기준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VS-09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BuildEvidenceSnapshot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S4/G2-A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Dataset/Model/Config/Code SHA가 동결된 Evidence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VS-10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GenerateSellDecision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S4/G2-A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우선순위가 보존된 HOLD/부분매도/전량매도 결정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VS-11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ManageReentryWatch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S5/G2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비가치훼손 매도의 재진입 계약·단계·만료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8. 26개 Vertical Slice 실행 카탈로그(계속)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10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ID</w:t>
            </w:r>
          </w:p>
        </w:tc>
        <w:tc>
          <w:tcPr>
            <w:tcW w:type="dxa" w:w="316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Slice</w:t>
            </w:r>
          </w:p>
        </w:tc>
        <w:tc>
          <w:tcPr>
            <w:tcW w:type="dxa" w:w="17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Sprint/Gate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사용자 결과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VS-12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RankBuyCandidates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S10/Portfolio Gate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PIT 품질·밸류·수정·모멘텀을 결합한 후보 순위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VS-13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CalculatePortfolioRisk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S9/Portfolio-A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ES·집중·상관·자본바닥 위험 스냅샷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VS-14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GenerateDailyRecommendations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S7/MVP-B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고객별 BUY/HOLD/SELL/REENTER/REBALANCE 제안 패키지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VS-15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ReviewRecommendation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S7/MVP-B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maker-checker 승인·보류·기각과 낙관적 동시성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VS-16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PublishClientAdvice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S8/G3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승인·유효·데이터 정상 제안만 고객 공개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VS-17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RecordClientDecision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S8/G3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고객 수락·거절·보류와 attribution 연결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VS-18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EvaluateDecisionOutcome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S8/G3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1/5/20/63/126/252일 결과·매도·재진입 품질 평가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VS-19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RunFrozenBacktest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S5/G2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동결 manifest 기반 워크포워드·OOS·비용 스트레스 재현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VS-20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PromoteModelVersion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S11/G4-A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모델 승격 증거·승인·롤백·챔피언/챌린저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VS-21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BuildRebalanceProposal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S9/Portfolio-A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비용·세금·위험예산·제약을 만족하는 리밸런싱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VS-22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SuggestReplacementProducts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S10/Portfolio Gate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적합성·유동성·비용후 기회우위 대체상품 비교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VS-23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ReconcilePositionsAndFills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S12/Pilot-A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브로커·내부 주문·체결·보유·현금 break와 승인 정정</w:t>
            </w:r>
          </w:p>
        </w:tc>
      </w:tr>
      <w:tr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VS-24</w:t>
            </w:r>
          </w:p>
        </w:tc>
        <w:tc>
          <w:tcPr>
            <w:tcW w:type="dxa" w:w="316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ReportAndNotify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S11/G4-A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고객 리포트·SignalR·Telegram 운영 경보</w:t>
            </w:r>
          </w:p>
        </w:tc>
      </w:tr>
      <w:tr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VS-25</w:t>
            </w:r>
          </w:p>
        </w:tc>
        <w:tc>
          <w:tcPr>
            <w:tcW w:type="dxa" w:w="316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AuditAndKillSwitch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S13/G5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입력→결정→승인→공개→실행→평가 추적과 단계별 차단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9. 상세 WBS 개선안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360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구분</w:t>
            </w:r>
          </w:p>
        </w:tc>
        <w:tc>
          <w:tcPr>
            <w:tcW w:type="dxa" w:w="360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값</w:t>
            </w:r>
          </w:p>
        </w:tc>
      </w:tr>
      <w:tr>
        <w:tc>
          <w:tcPr>
            <w:tcW w:type="dxa" w:w="360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총 작업</w:t>
            </w:r>
          </w:p>
        </w:tc>
        <w:tc>
          <w:tcPr>
            <w:tcW w:type="dxa" w:w="360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231</w:t>
            </w:r>
          </w:p>
        </w:tc>
      </w:tr>
      <w:tr>
        <w:tc>
          <w:tcPr>
            <w:tcW w:type="dxa" w:w="360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P0</w:t>
            </w:r>
          </w:p>
        </w:tc>
        <w:tc>
          <w:tcPr>
            <w:tcW w:type="dxa" w:w="360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166</w:t>
            </w:r>
          </w:p>
        </w:tc>
      </w:tr>
      <w:tr>
        <w:tc>
          <w:tcPr>
            <w:tcW w:type="dxa" w:w="360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P1</w:t>
            </w:r>
          </w:p>
        </w:tc>
        <w:tc>
          <w:tcPr>
            <w:tcW w:type="dxa" w:w="360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65</w:t>
            </w:r>
          </w:p>
        </w:tc>
      </w:tr>
      <w:tr>
        <w:tc>
          <w:tcPr>
            <w:tcW w:type="dxa" w:w="360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Vertical Slice</w:t>
            </w:r>
          </w:p>
        </w:tc>
        <w:tc>
          <w:tcPr>
            <w:tcW w:type="dxa" w:w="360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26</w:t>
            </w:r>
          </w:p>
        </w:tc>
      </w:tr>
      <w:tr>
        <w:tc>
          <w:tcPr>
            <w:tcW w:type="dxa" w:w="360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Sprint</w:t>
            </w:r>
          </w:p>
        </w:tc>
        <w:tc>
          <w:tcPr>
            <w:tcW w:type="dxa" w:w="360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16개/32주</w:t>
            </w:r>
          </w:p>
        </w:tc>
      </w:tr>
      <w:tr>
        <w:tc>
          <w:tcPr>
            <w:tcW w:type="dxa" w:w="360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총 계획 공수</w:t>
            </w:r>
          </w:p>
        </w:tc>
        <w:tc>
          <w:tcPr>
            <w:tcW w:type="dxa" w:w="360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1450 PD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17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Sprint</w:t>
            </w:r>
          </w:p>
        </w:tc>
        <w:tc>
          <w:tcPr>
            <w:tcW w:type="dxa" w:w="17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작업수</w:t>
            </w:r>
          </w:p>
        </w:tc>
        <w:tc>
          <w:tcPr>
            <w:tcW w:type="dxa" w:w="17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P0</w:t>
            </w:r>
          </w:p>
        </w:tc>
        <w:tc>
          <w:tcPr>
            <w:tcW w:type="dxa" w:w="216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PD</w:t>
            </w:r>
          </w:p>
        </w:tc>
      </w:tr>
      <w:tr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S0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23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152</w:t>
            </w:r>
          </w:p>
        </w:tc>
      </w:tr>
      <w:tr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15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11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88</w:t>
            </w:r>
          </w:p>
        </w:tc>
      </w:tr>
      <w:tr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S10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14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10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80</w:t>
            </w:r>
          </w:p>
        </w:tc>
      </w:tr>
      <w:tr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S11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18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13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123</w:t>
            </w:r>
          </w:p>
        </w:tc>
      </w:tr>
      <w:tr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S12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9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7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57</w:t>
            </w:r>
          </w:p>
        </w:tc>
      </w:tr>
      <w:tr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S13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9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7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60</w:t>
            </w:r>
          </w:p>
        </w:tc>
      </w:tr>
      <w:tr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S14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3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30</w:t>
            </w:r>
          </w:p>
        </w:tc>
      </w:tr>
      <w:tr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S15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</w:t>
            </w:r>
          </w:p>
        </w:tc>
      </w:tr>
      <w:tr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S2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17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12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103</w:t>
            </w:r>
          </w:p>
        </w:tc>
      </w:tr>
      <w:tr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S3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22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130</w:t>
            </w:r>
          </w:p>
        </w:tc>
      </w:tr>
      <w:tr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S4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20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14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129</w:t>
            </w:r>
          </w:p>
        </w:tc>
      </w:tr>
      <w:tr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S5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18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14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119</w:t>
            </w:r>
          </w:p>
        </w:tc>
      </w:tr>
      <w:tr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S6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7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5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40</w:t>
            </w:r>
          </w:p>
        </w:tc>
      </w:tr>
      <w:tr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S7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12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98</w:t>
            </w:r>
          </w:p>
        </w:tc>
      </w:tr>
      <w:tr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S8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24</w:t>
            </w:r>
          </w:p>
        </w:tc>
        <w:tc>
          <w:tcPr>
            <w:tcW w:type="dxa" w:w="17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17</w:t>
            </w:r>
          </w:p>
        </w:tc>
        <w:tc>
          <w:tcPr>
            <w:tcW w:type="dxa" w:w="21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145</w:t>
            </w:r>
          </w:p>
        </w:tc>
      </w:tr>
      <w:tr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S9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14</w:t>
            </w:r>
          </w:p>
        </w:tc>
        <w:tc>
          <w:tcPr>
            <w:tcW w:type="dxa" w:w="17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10</w:t>
            </w:r>
          </w:p>
        </w:tc>
        <w:tc>
          <w:tcPr>
            <w:tcW w:type="dxa" w:w="21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80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9.1 v12.2 대표 P0 Delta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01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WBS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Slice</w:t>
            </w:r>
          </w:p>
        </w:tc>
        <w:tc>
          <w:tcPr>
            <w:tcW w:type="dxa" w:w="576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작업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Gate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AEG22-X-001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Cross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Current-session source coverage and SHA register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G0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AEG22-X-002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Cross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Offline-safe package manager and lockfile decision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G0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AEG22-X-005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Cross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DbUp fresh/upgrade/re-run/failure rehearsal script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G0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AEG22-X-006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Cross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Outbox lease/dead-letter/replay hardening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AEG22-X-007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Cross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Inbox duplicate/result-hash contract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AEG22-VS10-001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VS-10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Separate security weight and lot weight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G2-A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AEG22-VS10-003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VS-10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Golden/boundary/monotonic/property vectors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G2-A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AEG22-VS09-001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VS-09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Evidence completeness grade and required-field manifest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G2-A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AEG22-VS03-001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VS-03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Enforce published_at cutoff and timezone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G1-B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AEG22-VS03-002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VS-03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Source license/SLA/checksum fail-closed gate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G1-B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AEG22-VS08-001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VS-08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Lot weight derivation and reconciliation invariant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G1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AEG22-VS11-001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VS-11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Reentry stage uniqueness and cycle reset proof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G2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AEG22-VS14-001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VS-14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Run isolation and partial-failure quarantine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MVP-B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AEG22-VS15-001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VS-15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Maker-checker optimistic concurrency proof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MVP-B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AEG22-VS16-001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VS-16</w:t>
            </w:r>
          </w:p>
        </w:tc>
        <w:tc>
          <w:tcPr>
            <w:tcW w:type="dxa" w:w="576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Publish snapshot hash and staleness gate</w:t>
            </w:r>
          </w:p>
        </w:tc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AEG22-VS19-001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VS-19</w:t>
            </w:r>
          </w:p>
        </w:tc>
        <w:tc>
          <w:tcPr>
            <w:tcW w:type="dxa" w:w="576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Environment digest and full experiment registry</w:t>
            </w:r>
          </w:p>
        </w:tc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G2</w:t>
            </w:r>
          </w:p>
        </w:tc>
      </w:tr>
    </w:tbl>
    <w:p>
      <w:pPr>
        <w:spacing w:after="0"/>
      </w:pP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전체 231개 행은 `docs/v12_2/07_DETAILED_WBS_MASTER.csv`가 단일 기준이다. 각 행은 산출물, 수용증거, Primary/Secondary, 의존성, Gate, PD, Evidence Class, Risk, Status를 가진다.</w:t>
      </w:r>
    </w:p>
    <w:p>
      <w:r>
        <w:br w:type="page"/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10. 기술부채 상환 체계</w:t>
      </w:r>
    </w:p>
    <w:p>
      <w:pPr>
        <w:spacing w:after="80" w:line="269" w:lineRule="auto"/>
      </w:pPr>
      <w:r>
        <w:rPr>
          <w:rFonts w:ascii="Noto Sans CJK KR" w:hAnsi="Noto Sans CJK KR" w:eastAsia="Noto Sans CJK KR"/>
          <w:sz w:val="19"/>
        </w:rPr>
        <w:t>기술부채는 총 33건이다. P0는 해당 Gate 이전에 종료하거나 승인된 완화통제를 가져야 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1152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ID</w:t>
            </w:r>
          </w:p>
        </w:tc>
        <w:tc>
          <w:tcPr>
            <w:tcW w:type="dxa" w:w="10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등급</w:t>
            </w:r>
          </w:p>
        </w:tc>
        <w:tc>
          <w:tcPr>
            <w:tcW w:type="dxa" w:w="590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부채</w:t>
            </w:r>
          </w:p>
        </w:tc>
        <w:tc>
          <w:tcPr>
            <w:tcW w:type="dxa" w:w="100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Gate</w:t>
            </w:r>
          </w:p>
        </w:tc>
        <w:tc>
          <w:tcPr>
            <w:tcW w:type="dxa" w:w="144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상태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TD-001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도구체인 실빌드 미검증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G0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TD-002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pnpm-lock.yaml 부재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G0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TD-003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PostgreSQL migration rehearsal 미실행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G0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TD-004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원시 연구 데이터 권리·checksum·환경 lock 미완전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G1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TD-005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KR 검증 종료 2021-04-16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G4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TD-006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실제 OIDC/JWT 공급자 미결정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G5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TD-007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총수익·상폐수익·컨센서스 공급계약 미확정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G1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TD-008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Fee/Tax/FX PIT 표 미확정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G1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TD-009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Outbox/Inbox crash/replay 실증 미완료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G3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IN_PROGRESS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TD-010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JobRun·Watermark 표준의 일부 구현만 존재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G1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IN_PROGRESS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TD-011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Architecture test가 정적 문자열 규칙 중심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G0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IN_PROGRESS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TD-012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OpenAPI→FE contract 자동생성 미도입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G3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TD-013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PII redaction·Telegram 보안 테스트 미완성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G5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TD-014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Model promotion workflow 미완성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G4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TD-015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Read Model rebuild runner 미완성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G3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IN_PROGRESS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TD-016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SLO/RPO/RTO 미승인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G5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TD-017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P2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공통 UI 컴포넌트 승격 기준 미운영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S10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TD-018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PBO/DSR 전체 탐색·시도 원장 미완성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G4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TD-019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자산유형별 재진입 확인팩터 공급원 미완성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G2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TD-020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자동주문/KIS 제출은 금지 상태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ALL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MITIGATED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TD-021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정책 임계값이 문서·YAML·C#에 중복될 가능성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G2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TD-022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DB immutable trigger와 correction event 운영절차 미실증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G3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TD-023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P2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프런트 서버상태/Pinia 책임 경계의 팀 규율 미검증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MVP-B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TD-024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Dependency vulnerability/license 자동검사 미구성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G5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TD-025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성능 규모 가정 미확정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G6-A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TD-026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Security/Lot weight field ambiguity in v12.1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G2-A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IN_PROGRESS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TD-027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Only final sell policy reason was persisted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G2-A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IN_PROGRESS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TD-028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Current-session attachment set differs from prior package manifest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G0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MITIGATED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TD-029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Request execution contract remains endpoint-local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G0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TD-030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Outbox dispatcher runtime implementation is incomplete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G3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TD-031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P0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Inbox result-hash/replay proof is incomplete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G3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TD-032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Outcome metric definitions are not fully versioned</w:t>
            </w:r>
          </w:p>
        </w:tc>
        <w:tc>
          <w:tcPr>
            <w:tcW w:type="dxa" w:w="100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G3</w:t>
            </w:r>
          </w:p>
        </w:tc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OPEN</w:t>
            </w:r>
          </w:p>
        </w:tc>
      </w:tr>
      <w:tr>
        <w:tc>
          <w:tcPr>
            <w:tcW w:type="dxa" w:w="1152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TD-033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P1</w:t>
            </w:r>
          </w:p>
        </w:tc>
        <w:tc>
          <w:tcPr>
            <w:tcW w:type="dxa" w:w="590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Module and feature scaffolding depended on manual copying</w:t>
            </w:r>
          </w:p>
        </w:tc>
        <w:tc>
          <w:tcPr>
            <w:tcW w:type="dxa" w:w="100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G0</w:t>
            </w:r>
          </w:p>
        </w:tc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MITIGATED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11. 바이브코딩·홀루시네이션 통제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201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분류</w:t>
            </w:r>
          </w:p>
        </w:tc>
        <w:tc>
          <w:tcPr>
            <w:tcW w:type="dxa" w:w="432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정의</w:t>
            </w:r>
          </w:p>
        </w:tc>
        <w:tc>
          <w:tcPr>
            <w:tcW w:type="dxa" w:w="374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처리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SOURCE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첨부·승인 계약에 직접 근거</w:t>
            </w:r>
          </w:p>
        </w:tc>
        <w:tc>
          <w:tcPr>
            <w:tcW w:type="dxa" w:w="374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출처 ID와 구현 연결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ASSUMPTION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착수 편의 가정</w:t>
            </w:r>
          </w:p>
        </w:tc>
        <w:tc>
          <w:tcPr>
            <w:tcW w:type="dxa" w:w="374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Owner·만료·영향·승인</w:t>
            </w:r>
          </w:p>
        </w:tc>
      </w:tr>
      <w:tr>
        <w:tc>
          <w:tcPr>
            <w:tcW w:type="dxa" w:w="201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UNKNOWN</w:t>
            </w:r>
          </w:p>
        </w:tc>
        <w:tc>
          <w:tcPr>
            <w:tcW w:type="dxa" w:w="432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자료로 판단 불가</w:t>
            </w:r>
          </w:p>
        </w:tc>
        <w:tc>
          <w:tcPr>
            <w:tcW w:type="dxa" w:w="374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코드 기본값 금지</w:t>
            </w:r>
          </w:p>
        </w:tc>
      </w:tr>
      <w:tr>
        <w:tc>
          <w:tcPr>
            <w:tcW w:type="dxa" w:w="201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DECISION_REQUIRED</w:t>
            </w:r>
          </w:p>
        </w:tc>
        <w:tc>
          <w:tcPr>
            <w:tcW w:type="dxa" w:w="432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Gate 전 결정 필수</w:t>
            </w:r>
          </w:p>
        </w:tc>
        <w:tc>
          <w:tcPr>
            <w:tcW w:type="dxa" w:w="374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코딩/승격 차단</w:t>
            </w:r>
          </w:p>
        </w:tc>
      </w:tr>
    </w:tbl>
    <w:p>
      <w:pPr>
        <w:spacing w:after="0"/>
      </w:pP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AI 작업 패킷에 Requirement/Slice/Policy/Data/API/DB/Job/UI/Test/검증명령 포함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새 library/table/threshold/index는 ADR/Decision 없이 도입 금지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실행하지 않은 build/test/migration/Shadow/PBO/DSR PASS 주장 금지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실고객 데이터·token·secret를 prompt/fixture/log에 포함 금지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PR에 실제 실행 명령과 artifact hash 기록</w:t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12. 20영업일 재착수와 검증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144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기간</w:t>
            </w:r>
          </w:p>
        </w:tc>
        <w:tc>
          <w:tcPr>
            <w:tcW w:type="dxa" w:w="532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핵심 작업</w:t>
            </w:r>
          </w:p>
        </w:tc>
        <w:tc>
          <w:tcPr>
            <w:tcW w:type="dxa" w:w="3600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완료 증거</w:t>
            </w:r>
          </w:p>
        </w:tc>
      </w:tr>
      <w:tr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D1~D3</w:t>
            </w:r>
          </w:p>
        </w:tc>
        <w:tc>
          <w:tcPr>
            <w:tcW w:type="dxa" w:w="53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기준선·첨부 SHA·Coverage·Decision·자동주문 OFF</w:t>
            </w:r>
          </w:p>
        </w:tc>
        <w:tc>
          <w:tcPr>
            <w:tcW w:type="dxa" w:w="360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Steering 승인, ID 중복 0</w:t>
            </w:r>
          </w:p>
        </w:tc>
      </w:tr>
      <w:tr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D4~D6</w:t>
            </w:r>
          </w:p>
        </w:tc>
        <w:tc>
          <w:tcPr>
            <w:tcW w:type="dxa" w:w="53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.NET/node/pnpm/lockfile/Gitea CI</w:t>
            </w:r>
          </w:p>
        </w:tc>
        <w:tc>
          <w:tcPr>
            <w:tcW w:type="dxa" w:w="360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재현 bootstrap green</w:t>
            </w:r>
          </w:p>
        </w:tc>
      </w:tr>
      <w:tr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D7~D10</w:t>
            </w:r>
          </w:p>
        </w:tc>
        <w:tc>
          <w:tcPr>
            <w:tcW w:type="dxa" w:w="53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DbUp 4시나리오, Auth, Outbox/Inbox, Architecture</w:t>
            </w:r>
          </w:p>
        </w:tc>
        <w:tc>
          <w:tcPr>
            <w:tcW w:type="dxa" w:w="360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G0 통과</w:t>
            </w:r>
          </w:p>
        </w:tc>
      </w:tr>
      <w:tr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D11~D14</w:t>
            </w:r>
          </w:p>
        </w:tc>
        <w:tc>
          <w:tcPr>
            <w:tcW w:type="dxa" w:w="53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SecurityMaster·MarketData·PIT·CA·DQ</w:t>
            </w:r>
          </w:p>
        </w:tc>
        <w:tc>
          <w:tcPr>
            <w:tcW w:type="dxa" w:w="360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replay hash 동일, lookahead 0</w:t>
            </w:r>
          </w:p>
        </w:tc>
      </w:tr>
      <w:tr>
        <w:tc>
          <w:tcPr>
            <w:tcW w:type="dxa" w:w="144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D15~D17</w:t>
            </w:r>
          </w:p>
        </w:tc>
        <w:tc>
          <w:tcPr>
            <w:tcW w:type="dxa" w:w="532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Evidence·Lot/종목 비중·6 Sell Policy·Reentry</w:t>
            </w:r>
          </w:p>
        </w:tc>
        <w:tc>
          <w:tcPr>
            <w:tcW w:type="dxa" w:w="3600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G2-A Golden 통과</w:t>
            </w:r>
          </w:p>
        </w:tc>
      </w:tr>
      <w:tr>
        <w:tc>
          <w:tcPr>
            <w:tcW w:type="dxa" w:w="144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D18~D20</w:t>
            </w:r>
          </w:p>
        </w:tc>
        <w:tc>
          <w:tcPr>
            <w:tcW w:type="dxa" w:w="532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Production Decision Slice·FE·OTel E2E</w:t>
            </w:r>
          </w:p>
        </w:tc>
        <w:tc>
          <w:tcPr>
            <w:tcW w:type="dxa" w:w="3600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첫 End-to-End Slice Done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rPr>
          <w:rFonts w:ascii="Noto Sans CJK KR" w:hAnsi="Noto Sans CJK KR" w:eastAsia="Noto Sans CJK KR"/>
          <w:color w:val="17365D"/>
        </w:rPr>
        <w:t>12.1 현재 검증 상태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888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검증</w:t>
            </w:r>
          </w:p>
        </w:tc>
        <w:tc>
          <w:tcPr>
            <w:tcW w:type="dxa" w:w="302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345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다음 조치</w:t>
            </w:r>
          </w:p>
        </w:tc>
      </w:tr>
      <w:tr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정적 패키지 검증</w:t>
            </w:r>
          </w:p>
        </w:tc>
        <w:tc>
          <w:tcPr>
            <w:tcW w:type="dxa" w:w="30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 PASS / 4 WARN / 0 FAIL</w:t>
            </w:r>
          </w:p>
        </w:tc>
        <w:tc>
          <w:tcPr>
            <w:tcW w:type="dxa" w:w="345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CI 상시화</w:t>
            </w:r>
          </w:p>
        </w:tc>
      </w:tr>
      <w:tr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Python 정책 hardening</w:t>
            </w:r>
          </w:p>
        </w:tc>
        <w:tc>
          <w:tcPr>
            <w:tcW w:type="dxa" w:w="30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4 tests PASS</w:t>
            </w:r>
          </w:p>
        </w:tc>
        <w:tc>
          <w:tcPr>
            <w:tcW w:type="dxa" w:w="345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C# Golden 교차비교</w:t>
            </w:r>
          </w:p>
        </w:tc>
      </w:tr>
      <w:tr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.NET restore/build/test</w:t>
            </w:r>
          </w:p>
        </w:tc>
        <w:tc>
          <w:tcPr>
            <w:tcW w:type="dxa" w:w="30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미실행: SDK 부재</w:t>
            </w:r>
          </w:p>
        </w:tc>
        <w:tc>
          <w:tcPr>
            <w:tcW w:type="dxa" w:w="345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승인 .NET 10 runner</w:t>
            </w:r>
          </w:p>
        </w:tc>
      </w:tr>
      <w:tr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pnpm frozen build</w:t>
            </w:r>
          </w:p>
        </w:tc>
        <w:tc>
          <w:tcPr>
            <w:tcW w:type="dxa" w:w="30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미실행: pnpm/lock 부재</w:t>
            </w:r>
          </w:p>
        </w:tc>
        <w:tc>
          <w:tcPr>
            <w:tcW w:type="dxa" w:w="345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lock 생성·검토·commit</w:t>
            </w:r>
          </w:p>
        </w:tc>
      </w:tr>
      <w:tr>
        <w:tc>
          <w:tcPr>
            <w:tcW w:type="dxa" w:w="3888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PostgreSQL migration rehearsal</w:t>
            </w:r>
          </w:p>
        </w:tc>
        <w:tc>
          <w:tcPr>
            <w:tcW w:type="dxa" w:w="30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미실행</w:t>
            </w:r>
          </w:p>
        </w:tc>
        <w:tc>
          <w:tcPr>
            <w:tcW w:type="dxa" w:w="345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fresh/upgrade/re-run/failure</w:t>
            </w:r>
          </w:p>
        </w:tc>
      </w:tr>
      <w:tr>
        <w:tc>
          <w:tcPr>
            <w:tcW w:type="dxa" w:w="3888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252거래일 Shadow/PBO/DSR</w:t>
            </w:r>
          </w:p>
        </w:tc>
        <w:tc>
          <w:tcPr>
            <w:tcW w:type="dxa" w:w="30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미충족</w:t>
            </w:r>
          </w:p>
        </w:tc>
        <w:tc>
          <w:tcPr>
            <w:tcW w:type="dxa" w:w="345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G4 전 복수국면 누적</w:t>
            </w:r>
          </w:p>
        </w:tc>
      </w:tr>
    </w:tbl>
    <w:p>
      <w:pPr>
        <w:spacing w:after="0"/>
      </w:pPr>
    </w:p>
    <w:p>
      <w:pPr>
        <w:spacing w:after="120" w:line="269" w:lineRule="auto" w:before="80"/>
        <w:shd w:fill="E2F0D9"/>
        <w:ind w:left="115" w:right="115"/>
      </w:pPr>
      <w:r>
        <w:rPr>
          <w:rFonts w:ascii="Noto Sans CJK KR" w:hAnsi="Noto Sans CJK KR" w:eastAsia="Noto Sans CJK KR"/>
          <w:sz w:val="19"/>
        </w:rPr>
        <w:t>Go는 코드 존재가 아니라 Source→Requirement→Policy/Data→API/DB/Job/UI→Test→PR→Release Evidence 연결과 운영·준법 Gate 통과다.</w:t>
      </w: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부록 A. 패키지 산출물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3456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산출물</w:t>
            </w:r>
          </w:p>
        </w:tc>
        <w:tc>
          <w:tcPr>
            <w:tcW w:type="dxa" w:w="6624"/>
            <w:shd w:fill="17365D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경로</w:t>
            </w:r>
          </w:p>
        </w:tc>
      </w:tr>
      <w:tr>
        <w:tc>
          <w:tcPr>
            <w:tcW w:type="dxa" w:w="345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v12.2 통합 제안서</w:t>
            </w:r>
          </w:p>
        </w:tc>
        <w:tc>
          <w:tcPr>
            <w:tcW w:type="dxa" w:w="66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docs/v12_2/K-ArtSell_Aegis_v12_2_전략적_통합고도화_제안서.docx</w:t>
            </w:r>
          </w:p>
        </w:tc>
      </w:tr>
      <w:tr>
        <w:tc>
          <w:tcPr>
            <w:tcW w:type="dxa" w:w="345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26 Slice</w:t>
            </w:r>
          </w:p>
        </w:tc>
        <w:tc>
          <w:tcPr>
            <w:tcW w:type="dxa" w:w="66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docs/v12_2/06_SLICE_CATALOGUE.csv</w:t>
            </w:r>
          </w:p>
        </w:tc>
      </w:tr>
      <w:tr>
        <w:tc>
          <w:tcPr>
            <w:tcW w:type="dxa" w:w="345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상세 WBS 231건</w:t>
            </w:r>
          </w:p>
        </w:tc>
        <w:tc>
          <w:tcPr>
            <w:tcW w:type="dxa" w:w="66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docs/v12_2/07_DETAILED_WBS_MASTER.csv</w:t>
            </w:r>
          </w:p>
        </w:tc>
      </w:tr>
      <w:tr>
        <w:tc>
          <w:tcPr>
            <w:tcW w:type="dxa" w:w="345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기술부채 33건</w:t>
            </w:r>
          </w:p>
        </w:tc>
        <w:tc>
          <w:tcPr>
            <w:tcW w:type="dxa" w:w="66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docs/v12_2/08_TECH_DEBT_REGISTER.csv</w:t>
            </w:r>
          </w:p>
        </w:tc>
      </w:tr>
      <w:tr>
        <w:tc>
          <w:tcPr>
            <w:tcW w:type="dxa" w:w="345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추적성 Matrix</w:t>
            </w:r>
          </w:p>
        </w:tc>
        <w:tc>
          <w:tcPr>
            <w:tcW w:type="dxa" w:w="66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docs/v12_2/09_TRACEABILITY_MATRIX.csv</w:t>
            </w:r>
          </w:p>
        </w:tc>
      </w:tr>
      <w:tr>
        <w:tc>
          <w:tcPr>
            <w:tcW w:type="dxa" w:w="345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Decision Log</w:t>
            </w:r>
          </w:p>
        </w:tc>
        <w:tc>
          <w:tcPr>
            <w:tcW w:type="dxa" w:w="66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docs/v12_2/10_DECISION_LOG.csv</w:t>
            </w:r>
          </w:p>
        </w:tc>
      </w:tr>
      <w:tr>
        <w:tc>
          <w:tcPr>
            <w:tcW w:type="dxa" w:w="345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.NET/Vue/SQL/Hangfire 템플릿</w:t>
            </w:r>
          </w:p>
        </w:tc>
        <w:tc>
          <w:tcPr>
            <w:tcW w:type="dxa" w:w="66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templates/</w:t>
            </w:r>
          </w:p>
        </w:tc>
      </w:tr>
      <w:tr>
        <w:tc>
          <w:tcPr>
            <w:tcW w:type="dxa" w:w="345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현재 첨부 원본 6개</w:t>
            </w:r>
          </w:p>
        </w:tc>
        <w:tc>
          <w:tcPr>
            <w:tcW w:type="dxa" w:w="66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attachments/current_session/</w:t>
            </w:r>
          </w:p>
        </w:tc>
      </w:tr>
      <w:tr>
        <w:tc>
          <w:tcPr>
            <w:tcW w:type="dxa" w:w="3456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정적 검증</w:t>
            </w:r>
          </w:p>
        </w:tc>
        <w:tc>
          <w:tcPr>
            <w:tcW w:type="dxa" w:w="6624"/>
            <w:shd w:fill="FFFFFF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STATIC_VALIDATION_V12_2.txt</w:t>
            </w:r>
          </w:p>
        </w:tc>
      </w:tr>
      <w:tr>
        <w:tc>
          <w:tcPr>
            <w:tcW w:type="dxa" w:w="3456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무결성</w:t>
            </w:r>
          </w:p>
        </w:tc>
        <w:tc>
          <w:tcPr>
            <w:tcW w:type="dxa" w:w="6624"/>
            <w:shd w:fill="F7FAFC"/>
            <w:vAlign w:val="center"/>
          </w:tcPr>
          <w:p>
            <w:pPr>
              <w:spacing w:after="0" w:before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PACKAGE_MANIFEST.json, SHA256SUMS.txt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Noto Sans CJK KR" w:hAnsi="Noto Sans CJK KR" w:eastAsia="Noto Sans CJK KR"/>
          <w:color w:val="17365D"/>
        </w:rPr>
        <w:t>부록 B. 최종 체크리스트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현재 세션 첨부 6개가 원본 그대로 포함되고 SHA-256이 기록되었다.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자동주문/KIS Capability가 OFF이며 startup/CI/runtime guard가 있다.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미확정 항목은 Decision Log에 있고 코드 기본값으로 추정하지 않는다.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PIT published_at/revision/hash, DQ quarantine, lineage, replay가 계약화되었다.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SellRatioOfLot, SecurityWeight, LotWeight, CoreFloor의 단위가 분리되었다.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Hard impairment와 survival이 하위 정책으로 상쇄되지 않는다.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정책 trace가 ordered immutable evidence로 보존된다.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Reentry가 새 Cycle/Lot, 단계간격, 만료, 중복방지를 보존한다.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Decision과 Outbox가 동일 멱등 transaction에 연결된다.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FE request/response가 Zod runtime validation을 거친다.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Migration 0014는 이전 migration을 수정하지 않는다.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8"/>
        </w:rPr>
        <w:t>□ 실행하지 않은 .NET/pnpm/PostgreSQL/Shadow 검증은 PASS로 표시하지 않았다.</w:t>
      </w:r>
    </w:p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KR" w:hAnsi="Noto Sans CJK KR" w:eastAsia="Noto Sans CJK KR"/>
        <w:color w:val="646464"/>
        <w:sz w:val="15"/>
      </w:rPr>
      <w:t>K-ArtSell Aegis v12.2 | RESEARCH_CANDIDATE_NOT_PRODUCTION · 투자자문형 우선 · 자동주문/KIS 제출 OFF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oto Sans CJK KR" w:hAnsi="Noto Sans CJK KR" w:eastAsia="Noto Sans CJK KR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365F91" w:themeColor="accent1" w:themeShade="BF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ans CJK KR" w:hAnsi="Noto Sans CJK KR" w:eastAsia="Noto Sans CJK KR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Noto Sans CJK KR" w:hAnsi="Noto Sans CJK KR" w:eastAsia="Noto Sans CJK KR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