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NanumSquare" w:hAnsi="NanumSquare" w:eastAsia="NanumSquare"/>
          <w:b/>
          <w:color w:val="1F4E79"/>
          <w:sz w:val="56"/>
        </w:rPr>
        <w:t>K-ArtSell Aegis</w:t>
      </w:r>
    </w:p>
    <w:p>
      <w:pPr>
        <w:jc w:val="center"/>
      </w:pPr>
      <w:r>
        <w:rPr>
          <w:rFonts w:ascii="NanumSquare" w:hAnsi="NanumSquare" w:eastAsia="NanumSquare"/>
          <w:b/>
          <w:sz w:val="40"/>
        </w:rPr>
        <w:t>실행참조 구현 · 표준 UI · 지속 모델 평가</w:t>
        <w:br/>
        <w:t>통합 고도화 제안서 v16.0</w:t>
      </w:r>
    </w:p>
    <w:p>
      <w:pPr>
        <w:jc w:val="center"/>
      </w:pPr>
      <w:r>
        <w:rPr>
          <w:rFonts w:ascii="NanumSquare" w:hAnsi="NanumSquare" w:eastAsia="NanumSquare"/>
          <w:sz w:val="20"/>
        </w:rPr>
        <w:t>.NET 10 / ASP.NET Core 10 · Modular Monolith · Vertical Slice · FastEndpoints</w:t>
        <w:br/>
        <w:t>PostgreSQL/Npgsql/Dapper/DbUp · Hangfire · Vue 3/Vite 8/pnpm · PrimeVue/AG Grid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512"/>
      </w:tblGrid>
      <w:tr>
        <w:tc>
          <w:tcPr>
            <w:tcW w:type="dxa" w:w="10512"/>
            <w:shd w:fill="D9EAD3"/>
          </w:tcPr>
          <w:p>
            <w:r/>
            <w:r>
              <w:rPr>
                <w:rFonts w:ascii="NanumSquare" w:hAnsi="NanumSquare" w:eastAsia="NanumSquare"/>
                <w:b/>
                <w:sz w:val="20"/>
              </w:rPr>
              <w:t>문서 상태</w:t>
              <w:br/>
            </w:r>
            <w:r>
              <w:rPr>
                <w:rFonts w:ascii="NanumSquare" w:hAnsi="NanumSquare" w:eastAsia="NanumSquare"/>
                <w:sz w:val="18"/>
              </w:rPr>
              <w:t>IMPLEMENTATION_TEMPLATE / STATIC_VALIDATED / BUILD·DB·E2E·SHADOW REHEARSAL REQUIRED</w:t>
            </w:r>
          </w:p>
        </w:tc>
        <w:trPr>
          <w:tblHeader/>
        </w:trPr>
      </w:tr>
    </w:tbl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56"/>
        <w:gridCol w:w="5256"/>
      </w:tblGrid>
      <w:tr>
        <w:tc>
          <w:tcPr>
            <w:tcW w:type="dxa" w:w="2880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7"/>
              </w:rPr>
              <w:t>항목</w:t>
            </w:r>
          </w:p>
        </w:tc>
        <w:tc>
          <w:tcPr>
            <w:tcW w:type="dxa" w:w="7488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7"/>
              </w:rPr>
              <w:t>기준</w:t>
            </w:r>
          </w:p>
        </w:tc>
        <w:trPr>
          <w:tblHeader/>
        </w:trPr>
      </w:tr>
      <w:tr>
        <w:tc>
          <w:tcPr>
            <w:tcW w:type="dxa" w:w="288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기준일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2026-08-02</w:t>
            </w:r>
          </w:p>
        </w:tc>
      </w:tr>
      <w:tr>
        <w:tc>
          <w:tcPr>
            <w:tcW w:type="dxa" w:w="288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최상위 근거</w:t>
            </w:r>
          </w:p>
        </w:tc>
        <w:tc>
          <w:tcPr>
            <w:tcW w:type="dxa" w:w="748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v10.0 누적 실행기준서: 비회귀·47개 장·26 Slice·RG-01~08</w:t>
            </w:r>
          </w:p>
        </w:tc>
      </w:tr>
      <w:tr>
        <w:tc>
          <w:tcPr>
            <w:tcW w:type="dxa" w:w="288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실행 근거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v12.1 실행준비 제안서와 v15 Core 구현 기준선</w:t>
            </w:r>
          </w:p>
        </w:tc>
      </w:tr>
      <w:tr>
        <w:tc>
          <w:tcPr>
            <w:tcW w:type="dxa" w:w="288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운영 경계</w:t>
            </w:r>
          </w:p>
        </w:tc>
        <w:tc>
          <w:tcPr>
            <w:tcW w:type="dxa" w:w="748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투자자문형 → Shadow → Pilot; 자동주문/KIS 제출 OFF</w:t>
            </w:r>
          </w:p>
        </w:tc>
      </w:tr>
      <w:tr>
        <w:tc>
          <w:tcPr>
            <w:tcW w:type="dxa" w:w="288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알고리즘 상태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RESEARCH_CANDIDATE_NOT_PRODUCTION</w:t>
            </w:r>
          </w:p>
        </w:tc>
      </w:tr>
      <w:tr>
        <w:tc>
          <w:tcPr>
            <w:tcW w:type="dxa" w:w="288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v16 핵심 Delta</w:t>
            </w:r>
          </w:p>
        </w:tc>
        <w:tc>
          <w:tcPr>
            <w:tcW w:type="dxa" w:w="748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UI Adapter v4·CRUD v2·ExecutionEnvelope·Lease Fencing·J41/J42·0021 Migration</w:t>
            </w:r>
          </w:p>
        </w:tc>
      </w:tr>
    </w:tbl>
    <w:p/>
    <w:p>
      <w:r>
        <w:br w:type="page"/>
      </w:r>
    </w:p>
    <w:p>
      <w:pPr>
        <w:pStyle w:val="Heading1"/>
      </w:pPr>
      <w:r>
        <w:t>목차</w:t>
      </w:r>
    </w:p>
    <w:p>
      <w:r>
        <w:t>0. 누적 비회귀와 경영진 결론</w:t>
      </w:r>
    </w:p>
    <w:p>
      <w:r>
        <w:t>1. 역할별 처절한 감사</w:t>
      </w:r>
    </w:p>
    <w:p>
      <w:r>
        <w:t>2. 전략 우선순위와 과유불급</w:t>
      </w:r>
    </w:p>
    <w:p>
      <w:r>
        <w:t>3. SOLID·리팩터링·구조화</w:t>
      </w:r>
    </w:p>
    <w:p>
      <w:r>
        <w:t>4. 알고리즘·매도/재진입·Evidence Guard</w:t>
      </w:r>
    </w:p>
    <w:p>
      <w:r>
        <w:t>5. 데이터 정합성·정규화/역정규화</w:t>
      </w:r>
    </w:p>
    <w:p>
      <w:r>
        <w:t>6. FE UI Adapter v4</w:t>
      </w:r>
    </w:p>
    <w:p>
      <w:r>
        <w:t>7. 표준 Layout·CRUD v2·화면 타입</w:t>
      </w:r>
    </w:p>
    <w:p>
      <w:r>
        <w:t>8. BE·API·Outbox/Inbox·ExecutionEnvelope</w:t>
      </w:r>
    </w:p>
    <w:p>
      <w:r>
        <w:t>9. Hangfire Lease Fencing·J41</w:t>
      </w:r>
    </w:p>
    <w:p>
      <w:r>
        <w:t>10. 지속 모델 평가·J42 Reconciliation</w:t>
      </w:r>
    </w:p>
    <w:p>
      <w:r>
        <w:t>11. QA·보안·운영·DR</w:t>
      </w:r>
    </w:p>
    <w:p>
      <w:r>
        <w:t>12. 상세 WBS·기술부채·Gate</w:t>
      </w:r>
    </w:p>
    <w:p>
      <w:r>
        <w:t>13. 20영업일 재착수</w:t>
      </w:r>
    </w:p>
    <w:p>
      <w:r>
        <w:t>14. 검증 진실성·패키지 정책</w:t>
      </w:r>
    </w:p>
    <w:p>
      <w:r>
        <w:t>부록. 최종 체크리스트</w:t>
      </w:r>
    </w:p>
    <w:p>
      <w:r>
        <w:br w:type="page"/>
      </w:r>
    </w:p>
    <w:p>
      <w:pPr>
        <w:pStyle w:val="Heading1"/>
      </w:pPr>
      <w:r>
        <w:t>0. 누적 비회귀와 경영진 결론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512"/>
      </w:tblGrid>
      <w:tr>
        <w:tc>
          <w:tcPr>
            <w:tcW w:type="dxa" w:w="10512"/>
            <w:shd w:fill="E2F0D9"/>
          </w:tcPr>
          <w:p>
            <w:r/>
            <w:r>
              <w:rPr>
                <w:rFonts w:ascii="NanumSquare" w:hAnsi="NanumSquare" w:eastAsia="NanumSquare"/>
                <w:b/>
                <w:sz w:val="20"/>
              </w:rPr>
              <w:t>비회귀 기준</w:t>
              <w:br/>
            </w:r>
            <w:r>
              <w:rPr>
                <w:rFonts w:ascii="NanumSquare" w:hAnsi="NanumSquare" w:eastAsia="NanumSquare"/>
                <w:sz w:val="18"/>
              </w:rPr>
              <w:t>v16.0은 v15.0을 요약본으로 대체하거나 기존 세부 기준을 삭제하지 않는다. v10.0의 Baseline Preservation + Delta + Supersession + Traceability와 고객보호·PIT·감사·재현성 통제를 최상위로 유지한다.</w:t>
            </w:r>
          </w:p>
        </w:tc>
        <w:trPr>
          <w:tblHeader/>
        </w:trPr>
      </w:tr>
    </w:tbl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628"/>
        <w:gridCol w:w="2628"/>
        <w:gridCol w:w="2628"/>
        <w:gridCol w:w="2628"/>
      </w:tblGrid>
      <w:tr>
        <w:tc>
          <w:tcPr>
            <w:tcW w:type="dxa" w:w="1584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기준선</w:t>
            </w:r>
          </w:p>
        </w:tc>
        <w:tc>
          <w:tcPr>
            <w:tcW w:type="dxa" w:w="1584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상태</w:t>
            </w:r>
          </w:p>
        </w:tc>
        <w:tc>
          <w:tcPr>
            <w:tcW w:type="dxa" w:w="4464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보존 범위</w:t>
            </w:r>
          </w:p>
        </w:tc>
        <w:tc>
          <w:tcPr>
            <w:tcW w:type="dxa" w:w="3024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v16 처리</w:t>
            </w:r>
          </w:p>
        </w:tc>
        <w:trPr>
          <w:tblHeader/>
        </w:trPr>
      </w:tr>
      <w:tr>
        <w:tc>
          <w:tcPr>
            <w:tcW w:type="dxa" w:w="158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v10.0</w:t>
            </w:r>
          </w:p>
        </w:tc>
        <w:tc>
          <w:tcPr>
            <w:tcW w:type="dxa" w:w="158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RETAINED</w:t>
            </w:r>
          </w:p>
        </w:tc>
        <w:tc>
          <w:tcPr>
            <w:tcW w:type="dxa" w:w="446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47개 장·26 Slice·PIT·UX/FE/BE/Job·36개월·RG-01~08</w:t>
            </w:r>
          </w:p>
        </w:tc>
        <w:tc>
          <w:tcPr>
            <w:tcW w:type="dxa" w:w="302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최상위 범위/안전 기준</w:t>
            </w:r>
          </w:p>
        </w:tc>
      </w:tr>
      <w:tr>
        <w:tc>
          <w:tcPr>
            <w:tcW w:type="dxa" w:w="158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v12.1</w:t>
            </w:r>
          </w:p>
        </w:tc>
        <w:tc>
          <w:tcPr>
            <w:tcW w:type="dxa" w:w="158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RETAINED</w:t>
            </w:r>
          </w:p>
        </w:tc>
        <w:tc>
          <w:tcPr>
            <w:tcW w:type="dxa" w:w="446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실행준비·202 WBS·기술부채·검증 진실성</w:t>
            </w:r>
          </w:p>
        </w:tc>
        <w:tc>
          <w:tcPr>
            <w:tcW w:type="dxa" w:w="302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실행계약 근거</w:t>
            </w:r>
          </w:p>
        </w:tc>
      </w:tr>
      <w:tr>
        <w:tc>
          <w:tcPr>
            <w:tcW w:type="dxa" w:w="158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v15.0</w:t>
            </w:r>
          </w:p>
        </w:tc>
        <w:tc>
          <w:tcPr>
            <w:tcW w:type="dxa" w:w="158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IMPROVED</w:t>
            </w:r>
          </w:p>
        </w:tc>
        <w:tc>
          <w:tcPr>
            <w:tcW w:type="dxa" w:w="446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Adapter v3·CRUD·Scheduler anchor·J40·576 WBS</w:t>
            </w:r>
          </w:p>
        </w:tc>
        <w:tc>
          <w:tcPr>
            <w:tcW w:type="dxa" w:w="302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동작보존 후 참조 구현 보강</w:t>
            </w:r>
          </w:p>
        </w:tc>
      </w:tr>
      <w:tr>
        <w:tc>
          <w:tcPr>
            <w:tcW w:type="dxa" w:w="158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v16.0</w:t>
            </w:r>
          </w:p>
        </w:tc>
        <w:tc>
          <w:tcPr>
            <w:tcW w:type="dxa" w:w="158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CURRENT</w:t>
            </w:r>
          </w:p>
        </w:tc>
        <w:tc>
          <w:tcPr>
            <w:tcW w:type="dxa" w:w="446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Adapter v4·ExecutionEnvelope·Lease/J41·Reconciliation/J42·0021</w:t>
            </w:r>
          </w:p>
        </w:tc>
        <w:tc>
          <w:tcPr>
            <w:tcW w:type="dxa" w:w="302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현재 구현·검증 대상</w:t>
            </w:r>
          </w:p>
        </w:tc>
      </w:tr>
    </w:tbl>
    <w:p/>
    <w:p>
      <w:pPr>
        <w:pStyle w:val="Heading2"/>
      </w:pPr>
      <w:r>
        <w:t>경영진 숫자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504"/>
        <w:gridCol w:w="3504"/>
        <w:gridCol w:w="3504"/>
      </w:tblGrid>
      <w:tr>
        <w:tc>
          <w:tcPr>
            <w:tcW w:type="dxa" w:w="2880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항목</w:t>
            </w:r>
          </w:p>
        </w:tc>
        <w:tc>
          <w:tcPr>
            <w:tcW w:type="dxa" w:w="1728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수치</w:t>
            </w:r>
          </w:p>
        </w:tc>
        <w:tc>
          <w:tcPr>
            <w:tcW w:type="dxa" w:w="5904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판정</w:t>
            </w:r>
          </w:p>
        </w:tc>
        <w:trPr>
          <w:tblHeader/>
        </w:trPr>
      </w:tr>
      <w:tr>
        <w:tc>
          <w:tcPr>
            <w:tcW w:type="dxa" w:w="288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상세 WBS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664건</w:t>
            </w:r>
          </w:p>
        </w:tc>
        <w:tc>
          <w:tcPr>
            <w:tcW w:type="dxa" w:w="590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기존 576 + v16 Delta 88</w:t>
            </w:r>
          </w:p>
        </w:tc>
      </w:tr>
      <w:tr>
        <w:tc>
          <w:tcPr>
            <w:tcW w:type="dxa" w:w="288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기술부채</w:t>
            </w:r>
          </w:p>
        </w:tc>
        <w:tc>
          <w:tcPr>
            <w:tcW w:type="dxa" w:w="172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148건</w:t>
            </w:r>
          </w:p>
        </w:tc>
        <w:tc>
          <w:tcPr>
            <w:tcW w:type="dxa" w:w="590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P0는 Gate 전 종료 또는 승인 완화</w:t>
            </w:r>
          </w:p>
        </w:tc>
      </w:tr>
      <w:tr>
        <w:tc>
          <w:tcPr>
            <w:tcW w:type="dxa" w:w="288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Decision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96건</w:t>
            </w:r>
          </w:p>
        </w:tc>
        <w:tc>
          <w:tcPr>
            <w:tcW w:type="dxa" w:w="590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미확정은 코드 기본값 금지</w:t>
            </w:r>
          </w:p>
        </w:tc>
      </w:tr>
      <w:tr>
        <w:tc>
          <w:tcPr>
            <w:tcW w:type="dxa" w:w="288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Traceability</w:t>
            </w:r>
          </w:p>
        </w:tc>
        <w:tc>
          <w:tcPr>
            <w:tcW w:type="dxa" w:w="172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121행</w:t>
            </w:r>
          </w:p>
        </w:tc>
        <w:tc>
          <w:tcPr>
            <w:tcW w:type="dxa" w:w="590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REQ→Policy/Data→API/DB/Job/UI→Test→WBS</w:t>
            </w:r>
          </w:p>
        </w:tc>
      </w:tr>
      <w:tr>
        <w:tc>
          <w:tcPr>
            <w:tcW w:type="dxa" w:w="288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FE Catalogue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58건</w:t>
            </w:r>
          </w:p>
        </w:tc>
        <w:tc>
          <w:tcPr>
            <w:tcW w:type="dxa" w:w="590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Facade·Layout·CRUD·Screen·Contract</w:t>
            </w:r>
          </w:p>
        </w:tc>
      </w:tr>
      <w:tr>
        <w:tc>
          <w:tcPr>
            <w:tcW w:type="dxa" w:w="288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Model Job</w:t>
            </w:r>
          </w:p>
        </w:tc>
        <w:tc>
          <w:tcPr>
            <w:tcW w:type="dxa" w:w="172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28건</w:t>
            </w:r>
          </w:p>
        </w:tc>
        <w:tc>
          <w:tcPr>
            <w:tcW w:type="dxa" w:w="590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J41/J42 추가, 신규 기본 disabled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512"/>
      </w:tblGrid>
      <w:tr>
        <w:tc>
          <w:tcPr>
            <w:tcW w:type="dxa" w:w="10512"/>
            <w:shd w:fill="FFF2CC"/>
          </w:tcPr>
          <w:p>
            <w:r/>
            <w:r>
              <w:rPr>
                <w:rFonts w:ascii="NanumSquare" w:hAnsi="NanumSquare" w:eastAsia="NanumSquare"/>
                <w:b/>
                <w:sz w:val="20"/>
              </w:rPr>
              <w:t>냉정한 경고</w:t>
              <w:br/>
            </w:r>
            <w:r>
              <w:rPr>
                <w:rFonts w:ascii="NanumSquare" w:hAnsi="NanumSquare" w:eastAsia="NanumSquare"/>
                <w:sz w:val="18"/>
              </w:rPr>
              <w:t>문서·파일·클래스·Job의 개수는 생산준비도가 아니다. Source/License→PIT/DQ→Evidence→Decision→Review→Publish→Outcome→Reconciliation/DR가 실제 runtime 증거로 닫혀야 한다.</w:t>
            </w:r>
          </w:p>
        </w:tc>
        <w:trPr>
          <w:tblHeader/>
        </w:trPr>
      </w:tr>
    </w:tbl>
    <w:p/>
    <w:p>
      <w:r>
        <w:br w:type="page"/>
      </w:r>
    </w:p>
    <w:p>
      <w:pPr>
        <w:pStyle w:val="Heading1"/>
      </w:pPr>
      <w:r>
        <w:t>1. 역할별 처절한 감사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504"/>
        <w:gridCol w:w="3504"/>
        <w:gridCol w:w="3504"/>
      </w:tblGrid>
      <w:tr>
        <w:tc>
          <w:tcPr>
            <w:tcW w:type="dxa" w:w="1656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역할</w:t>
            </w:r>
          </w:p>
        </w:tc>
        <w:tc>
          <w:tcPr>
            <w:tcW w:type="dxa" w:w="4608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냉정한 진단</w:t>
            </w:r>
          </w:p>
        </w:tc>
        <w:tc>
          <w:tcPr>
            <w:tcW w:type="dxa" w:w="4536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v16 처방</w:t>
            </w:r>
          </w:p>
        </w:tc>
        <w:trPr>
          <w:tblHeader/>
        </w:trPr>
      </w:tr>
      <w:tr>
        <w:tc>
          <w:tcPr>
            <w:tcW w:type="dxa" w:w="1656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운영사</w:t>
            </w:r>
          </w:p>
        </w:tc>
        <w:tc>
          <w:tcPr>
            <w:tcW w:type="dxa" w:w="460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Scheduler 중복·stale worker를 DB 수작업으로 해결하면 운영은 이미 실패다.</w:t>
            </w:r>
          </w:p>
        </w:tc>
        <w:tc>
          <w:tcPr>
            <w:tcW w:type="dxa" w:w="4536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Lease fencing·heartbeat·J41·Owner/Runbook.</w:t>
            </w:r>
          </w:p>
        </w:tc>
      </w:tr>
      <w:tr>
        <w:tc>
          <w:tcPr>
            <w:tcW w:type="dxa" w:w="1656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아키텍트</w:t>
            </w:r>
          </w:p>
        </w:tc>
        <w:tc>
          <w:tcPr>
            <w:tcW w:type="dxa" w:w="460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Adapter가 있어도 호환성·롤백 증거가 없으면 단순 indirection이다.</w:t>
            </w:r>
          </w:p>
        </w:tc>
        <w:tc>
          <w:tcPr>
            <w:tcW w:type="dxa" w:w="4536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Adapter v4 compatibility report·Evidence table.</w:t>
            </w:r>
          </w:p>
        </w:tc>
      </w:tr>
      <w:tr>
        <w:tc>
          <w:tcPr>
            <w:tcW w:type="dxa" w:w="1656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PM/PL</w:t>
            </w:r>
          </w:p>
        </w:tc>
        <w:tc>
          <w:tcPr>
            <w:tcW w:type="dxa" w:w="460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WBS가 구현 파일·수용증거와 연결되지 않으면 일정 장식이다.</w:t>
            </w:r>
          </w:p>
        </w:tc>
        <w:tc>
          <w:tcPr>
            <w:tcW w:type="dxa" w:w="4536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v16 88개는 코드/DB/Test/문서와 직접 연결.</w:t>
            </w:r>
          </w:p>
        </w:tc>
      </w:tr>
      <w:tr>
        <w:tc>
          <w:tcPr>
            <w:tcW w:type="dxa" w:w="1656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UX/AX</w:t>
            </w:r>
          </w:p>
        </w:tc>
        <w:tc>
          <w:tcPr>
            <w:tcW w:type="dxa" w:w="460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정상 상태만 표준화하면 stale·hold·conflict를 숨긴다.</w:t>
            </w:r>
          </w:p>
        </w:tc>
        <w:tc>
          <w:tcPr>
            <w:tcW w:type="dxa" w:w="4536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DataContextHeader·CommandBar·13 상태.</w:t>
            </w:r>
          </w:p>
        </w:tc>
      </w:tr>
      <w:tr>
        <w:tc>
          <w:tcPr>
            <w:tcW w:type="dxa" w:w="1656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QA</w:t>
            </w:r>
          </w:p>
        </w:tc>
        <w:tc>
          <w:tcPr>
            <w:tcW w:type="dxa" w:w="460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정적 검증을 build PASS로 표현하면 조직적 홀루시네이션이다.</w:t>
            </w:r>
          </w:p>
        </w:tc>
        <w:tc>
          <w:tcPr>
            <w:tcW w:type="dxa" w:w="4536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STATIC/RUNTIME/SHADOW를 분리.</w:t>
            </w:r>
          </w:p>
        </w:tc>
      </w:tr>
      <w:tr>
        <w:tc>
          <w:tcPr>
            <w:tcW w:type="dxa" w:w="1656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투자 고객</w:t>
            </w:r>
          </w:p>
        </w:tc>
        <w:tc>
          <w:tcPr>
            <w:tcW w:type="dxa" w:w="460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점수보다 데이터 시점·비용·반대증거·승인·만료가 중요하다.</w:t>
            </w:r>
          </w:p>
        </w:tc>
        <w:tc>
          <w:tcPr>
            <w:tcW w:type="dxa" w:w="4536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As-of·VersionSet·Projection·Watermark·Correlation.</w:t>
            </w:r>
          </w:p>
        </w:tc>
      </w:tr>
      <w:tr>
        <w:tc>
          <w:tcPr>
            <w:tcW w:type="dxa" w:w="1656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개발자</w:t>
            </w:r>
          </w:p>
        </w:tc>
        <w:tc>
          <w:tcPr>
            <w:tcW w:type="dxa" w:w="460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모든 vendor prop 래핑·Generic Repository·무차별 interface는 과설계다.</w:t>
            </w:r>
          </w:p>
        </w:tc>
        <w:tc>
          <w:tcPr>
            <w:tcW w:type="dxa" w:w="4536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업무 의미가 안정된 최소 계약만 추상화.</w:t>
            </w:r>
          </w:p>
        </w:tc>
      </w:tr>
      <w:tr>
        <w:tc>
          <w:tcPr>
            <w:tcW w:type="dxa" w:w="1656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Data/DBA</w:t>
            </w:r>
          </w:p>
        </w:tc>
        <w:tc>
          <w:tcPr>
            <w:tcW w:type="dxa" w:w="460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평가 누락·중복·revision 재계산을 수작업하면 재현성은 깨진다.</w:t>
            </w:r>
          </w:p>
        </w:tc>
        <w:tc>
          <w:tcPr>
            <w:tcW w:type="dxa" w:w="4536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J42·append-only reconciliation·Projection rebuild.</w:t>
            </w:r>
          </w:p>
        </w:tc>
      </w:tr>
      <w:tr>
        <w:tc>
          <w:tcPr>
            <w:tcW w:type="dxa" w:w="1656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준법/리스크</w:t>
            </w:r>
          </w:p>
        </w:tc>
        <w:tc>
          <w:tcPr>
            <w:tcW w:type="dxa" w:w="460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평가 자동화가 모델 활성화·고객 공개·주문으로 번지면 통제 실패다.</w:t>
            </w:r>
          </w:p>
        </w:tc>
        <w:tc>
          <w:tcPr>
            <w:tcW w:type="dxa" w:w="4536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J41/J42 EvaluationOnly·disabled·Human activation only.</w:t>
            </w:r>
          </w:p>
        </w:tc>
      </w:tr>
    </w:tbl>
    <w:p/>
    <w:p>
      <w:r>
        <w:br w:type="page"/>
      </w:r>
    </w:p>
    <w:p>
      <w:pPr>
        <w:pStyle w:val="Heading1"/>
      </w:pPr>
      <w:r>
        <w:t>2. 전략 우선순위와 과유불급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504"/>
        <w:gridCol w:w="3504"/>
        <w:gridCol w:w="3504"/>
      </w:tblGrid>
      <w:tr>
        <w:tc>
          <w:tcPr>
            <w:tcW w:type="dxa" w:w="1728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영역</w:t>
            </w:r>
          </w:p>
        </w:tc>
        <w:tc>
          <w:tcPr>
            <w:tcW w:type="dxa" w:w="4536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우선순위</w:t>
            </w:r>
          </w:p>
        </w:tc>
        <w:tc>
          <w:tcPr>
            <w:tcW w:type="dxa" w:w="4680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금지/제한</w:t>
            </w:r>
          </w:p>
        </w:tc>
        <w:trPr>
          <w:tblHeader/>
        </w:trPr>
      </w:tr>
      <w:tr>
        <w:tc>
          <w:tcPr>
            <w:tcW w:type="dxa" w:w="172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제품</w:t>
            </w:r>
          </w:p>
        </w:tc>
        <w:tc>
          <w:tcPr>
            <w:tcW w:type="dxa" w:w="4536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투자자문 MVP→Shadow→Pilot</w:t>
            </w:r>
          </w:p>
        </w:tc>
        <w:tc>
          <w:tcPr>
            <w:tcW w:type="dxa" w:w="468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일임형·자동주문 선구현 금지</w:t>
            </w:r>
          </w:p>
        </w:tc>
      </w:tr>
      <w:tr>
        <w:tc>
          <w:tcPr>
            <w:tcW w:type="dxa" w:w="172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알고리즘</w:t>
            </w:r>
          </w:p>
        </w:tc>
        <w:tc>
          <w:tcPr>
            <w:tcW w:type="dxa" w:w="4536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매도·재진입·비용후 효용·위험감소</w:t>
            </w:r>
          </w:p>
        </w:tc>
        <w:tc>
          <w:tcPr>
            <w:tcW w:type="dxa" w:w="468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적중률 단독 최적화 금지</w:t>
            </w:r>
          </w:p>
        </w:tc>
      </w:tr>
      <w:tr>
        <w:tc>
          <w:tcPr>
            <w:tcW w:type="dxa" w:w="172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데이터</w:t>
            </w:r>
          </w:p>
        </w:tc>
        <w:tc>
          <w:tcPr>
            <w:tcW w:type="dxa" w:w="4536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PIT·revision·DQ·lineage·총수익/상폐</w:t>
            </w:r>
          </w:p>
        </w:tc>
        <w:tc>
          <w:tcPr>
            <w:tcW w:type="dxa" w:w="468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current overwrite·룩어헤드 금지</w:t>
            </w:r>
          </w:p>
        </w:tc>
      </w:tr>
      <w:tr>
        <w:tc>
          <w:tcPr>
            <w:tcW w:type="dxa" w:w="172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아키텍처</w:t>
            </w:r>
          </w:p>
        </w:tc>
        <w:tc>
          <w:tcPr>
            <w:tcW w:type="dxa" w:w="4536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Modular Monolith+Vertical Slice+Fitness</w:t>
            </w:r>
          </w:p>
        </w:tc>
        <w:tc>
          <w:tcPr>
            <w:tcW w:type="dxa" w:w="468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조기 microservice·Generic Repository 금지</w:t>
            </w:r>
          </w:p>
        </w:tc>
      </w:tr>
      <w:tr>
        <w:tc>
          <w:tcPr>
            <w:tcW w:type="dxa" w:w="172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FE</w:t>
            </w:r>
          </w:p>
        </w:tc>
        <w:tc>
          <w:tcPr>
            <w:tcW w:type="dxa" w:w="4536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Screen/CRUD→Ks Facade→Adapter v4</w:t>
            </w:r>
          </w:p>
        </w:tc>
        <w:tc>
          <w:tcPr>
            <w:tcW w:type="dxa" w:w="468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Feature vendor import·global provider mutation 금지</w:t>
            </w:r>
          </w:p>
        </w:tc>
      </w:tr>
      <w:tr>
        <w:tc>
          <w:tcPr>
            <w:tcW w:type="dxa" w:w="172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배치</w:t>
            </w:r>
          </w:p>
        </w:tc>
        <w:tc>
          <w:tcPr>
            <w:tcW w:type="dxa" w:w="4536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Anchor·Lease·Idempotency·BusinessHold</w:t>
            </w:r>
          </w:p>
        </w:tc>
        <w:tc>
          <w:tcPr>
            <w:tcW w:type="dxa" w:w="468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blind retry·무제한 catch-up 금지</w:t>
            </w:r>
          </w:p>
        </w:tc>
      </w:tr>
      <w:tr>
        <w:tc>
          <w:tcPr>
            <w:tcW w:type="dxa" w:w="172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개발방식</w:t>
            </w:r>
          </w:p>
        </w:tc>
        <w:tc>
          <w:tcPr>
            <w:tcW w:type="dxa" w:w="4536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Source/Assumption/Unknown/Decision Required</w:t>
            </w:r>
          </w:p>
        </w:tc>
        <w:tc>
          <w:tcPr>
            <w:tcW w:type="dxa" w:w="468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AI가 임계값·테이블·라이브러리 발명 금지</w:t>
            </w:r>
          </w:p>
        </w:tc>
      </w:tr>
    </w:tbl>
    <w:p/>
    <w:p>
      <w:pPr>
        <w:pStyle w:val="Heading2"/>
      </w:pPr>
      <w:r>
        <w:t>단일 Delivery Flow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512"/>
      </w:tblGrid>
      <w:tr>
        <w:tc>
          <w:tcPr>
            <w:tcW w:type="dxa" w:w="10512"/>
            <w:shd w:fill="DDEBF7"/>
          </w:tcPr>
          <w:p>
            <w:r/>
            <w:r>
              <w:rPr>
                <w:rFonts w:ascii="NanumSquare" w:hAnsi="NanumSquare" w:eastAsia="NanumSquare"/>
                <w:b/>
                <w:sz w:val="20"/>
              </w:rPr>
              <w:t>Flow</w:t>
              <w:br/>
            </w:r>
            <w:r>
              <w:rPr>
                <w:rFonts w:ascii="NanumSquare" w:hAnsi="NanumSquare" w:eastAsia="NanumSquare"/>
                <w:sz w:val="18"/>
              </w:rPr>
              <w:t>Idea → Decision Required 해소 → Slice Ready → Walking Skeleton → Contract/Golden → Implement → Review → Release Evidence → Observe → Debt/Outcome</w:t>
            </w:r>
          </w:p>
        </w:tc>
        <w:trPr>
          <w:tblHeader/>
        </w:trPr>
      </w:tr>
    </w:tbl>
    <w:p/>
    <w:p>
      <w:pPr>
        <w:pStyle w:val="ListBullet"/>
      </w:pPr>
      <w:r>
        <w:t>공통화는 3회 반복뿐 아니라 의미·실패상태·변경축이 같을 때만 한다.</w:t>
      </w:r>
    </w:p>
    <w:p>
      <w:pPr>
        <w:pStyle w:val="ListBullet"/>
      </w:pPr>
      <w:r>
        <w:t>Event sourcing은 Evidence/Decision/Transition/Audit에만 제한한다.</w:t>
      </w:r>
    </w:p>
    <w:p>
      <w:pPr>
        <w:pStyle w:val="ListBullet"/>
      </w:pPr>
      <w:r>
        <w:t>리팩터링과 정책/수식 변경은 별도 PR로 분리한다.</w:t>
      </w:r>
    </w:p>
    <w:p>
      <w:pPr>
        <w:pStyle w:val="ListBullet"/>
      </w:pPr>
      <w:r>
        <w:t>화면 편의를 위해 Source Table을 직접 join하지 않고 모듈 소유 Read Model/API를 사용한다.</w:t>
      </w:r>
    </w:p>
    <w:p>
      <w:r>
        <w:br w:type="page"/>
      </w:r>
    </w:p>
    <w:p>
      <w:pPr>
        <w:pStyle w:val="Heading1"/>
      </w:pPr>
      <w:r>
        <w:t>3. SOLID·리팩터링·구조화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504"/>
        <w:gridCol w:w="3504"/>
        <w:gridCol w:w="3504"/>
      </w:tblGrid>
      <w:tr>
        <w:tc>
          <w:tcPr>
            <w:tcW w:type="dxa" w:w="1440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원칙</w:t>
            </w:r>
          </w:p>
        </w:tc>
        <w:tc>
          <w:tcPr>
            <w:tcW w:type="dxa" w:w="4608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현장 적용</w:t>
            </w:r>
          </w:p>
        </w:tc>
        <w:tc>
          <w:tcPr>
            <w:tcW w:type="dxa" w:w="4752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금지 패턴</w:t>
            </w:r>
          </w:p>
        </w:tc>
        <w:trPr>
          <w:tblHeader/>
        </w:trPr>
      </w:tr>
      <w:tr>
        <w:tc>
          <w:tcPr>
            <w:tcW w:type="dxa" w:w="144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SRP</w:t>
            </w:r>
          </w:p>
        </w:tc>
        <w:tc>
          <w:tcPr>
            <w:tcW w:type="dxa" w:w="460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Endpoint=HTTP, Application=유스케이스, Policy=결정, Adapter=I/O</w:t>
            </w:r>
          </w:p>
        </w:tc>
        <w:tc>
          <w:tcPr>
            <w:tcW w:type="dxa" w:w="4752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God Service·Job 내부 정책</w:t>
            </w:r>
          </w:p>
        </w:tc>
      </w:tr>
      <w:tr>
        <w:tc>
          <w:tcPr>
            <w:tcW w:type="dxa" w:w="144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OCP</w:t>
            </w:r>
          </w:p>
        </w:tc>
        <w:tc>
          <w:tcPr>
            <w:tcW w:type="dxa" w:w="460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Policy/DQ/UI Provider를 registry+contract test로 확장</w:t>
            </w:r>
          </w:p>
        </w:tc>
        <w:tc>
          <w:tcPr>
            <w:tcW w:type="dxa" w:w="4752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reflection plugin framework</w:t>
            </w:r>
          </w:p>
        </w:tc>
      </w:tr>
      <w:tr>
        <w:tc>
          <w:tcPr>
            <w:tcW w:type="dxa" w:w="144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LSP</w:t>
            </w:r>
          </w:p>
        </w:tc>
        <w:tc>
          <w:tcPr>
            <w:tcW w:type="dxa" w:w="460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Provider 교체 시 semantics/state/a11y 계약 유지</w:t>
            </w:r>
          </w:p>
        </w:tc>
        <w:tc>
          <w:tcPr>
            <w:tcW w:type="dxa" w:w="4752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mock 성공만으로 승인</w:t>
            </w:r>
          </w:p>
        </w:tc>
      </w:tr>
      <w:tr>
        <w:tc>
          <w:tcPr>
            <w:tcW w:type="dxa" w:w="144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ISP</w:t>
            </w:r>
          </w:p>
        </w:tc>
        <w:tc>
          <w:tcPr>
            <w:tcW w:type="dxa" w:w="460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IClock·PIT Reader·SourceAdapter·LeaseStore 등 좁은 Port</w:t>
            </w:r>
          </w:p>
        </w:tc>
        <w:tc>
          <w:tcPr>
            <w:tcW w:type="dxa" w:w="4752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대형 Service Interface</w:t>
            </w:r>
          </w:p>
        </w:tc>
      </w:tr>
      <w:tr>
        <w:tc>
          <w:tcPr>
            <w:tcW w:type="dxa" w:w="144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DIP</w:t>
            </w:r>
          </w:p>
        </w:tc>
        <w:tc>
          <w:tcPr>
            <w:tcW w:type="dxa" w:w="460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Domain은 FastEndpoints/Dapper/Hangfire/PrimeVue를 모름</w:t>
            </w:r>
          </w:p>
        </w:tc>
        <w:tc>
          <w:tcPr>
            <w:tcW w:type="dxa" w:w="4752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Infrastructure type 침투</w:t>
            </w:r>
          </w:p>
        </w:tc>
      </w:tr>
    </w:tbl>
    <w:p/>
    <w:p>
      <w:pPr>
        <w:pStyle w:val="Heading2"/>
      </w:pPr>
      <w:r>
        <w:t>리팩터링 순서</w:t>
      </w:r>
    </w:p>
    <w:p>
      <w:pPr>
        <w:pStyle w:val="ListNumber"/>
      </w:pPr>
      <w:r>
        <w:t>Characterization/Golden으로 현재 동작 고정</w:t>
      </w:r>
    </w:p>
    <w:p>
      <w:pPr>
        <w:pStyle w:val="ListNumber"/>
      </w:pPr>
      <w:r>
        <w:t>동작보존 구조 변경</w:t>
      </w:r>
    </w:p>
    <w:p>
      <w:pPr>
        <w:pStyle w:val="ListNumber"/>
      </w:pPr>
      <w:r>
        <w:t>Contract/Architecture test 갱신</w:t>
      </w:r>
    </w:p>
    <w:p>
      <w:pPr>
        <w:pStyle w:val="ListNumber"/>
      </w:pPr>
      <w:r>
        <w:t>정책·수식 변경은 별도 PR</w:t>
      </w:r>
    </w:p>
    <w:p>
      <w:pPr>
        <w:pStyle w:val="ListNumber"/>
      </w:pPr>
      <w:r>
        <w:t>Release Evidence와 rollback 연결</w:t>
      </w:r>
    </w:p>
    <w:p>
      <w:pPr>
        <w:pStyle w:val="Heading2"/>
      </w:pPr>
      <w:r>
        <w:t>Slice Done</w:t>
      </w:r>
    </w:p>
    <w:p>
      <w:pPr>
        <w:pStyle w:val="ListBullet"/>
      </w:pPr>
      <w:r>
        <w:t>Requirement·Policy/Data·Endpoint/Job·Migration/Event·UI Route/Screen·Test·Metric/Alert·Runbook/Rollback을 함께 완료한다.</w:t>
      </w:r>
    </w:p>
    <w:p>
      <w:pPr>
        <w:pStyle w:val="ListBullet"/>
      </w:pPr>
      <w:r>
        <w:t>직접 DB 접근과 임시 cross-module join을 금지한다.</w:t>
      </w:r>
    </w:p>
    <w:p>
      <w:pPr>
        <w:pStyle w:val="ListBullet"/>
      </w:pPr>
      <w:r>
        <w:t>기술부채는 Owner·Impact·Trigger·Gate·Exit Evidence를 가진다.</w:t>
      </w:r>
    </w:p>
    <w:p>
      <w:r>
        <w:br w:type="page"/>
      </w:r>
    </w:p>
    <w:p>
      <w:pPr>
        <w:pStyle w:val="Heading1"/>
      </w:pPr>
      <w:r>
        <w:t>4. 알고리즘·매도/재진입·Evidence Guard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512"/>
      </w:tblGrid>
      <w:tr>
        <w:tc>
          <w:tcPr>
            <w:tcW w:type="dxa" w:w="10512"/>
            <w:shd w:fill="E2F0D9"/>
          </w:tcPr>
          <w:p>
            <w:r/>
            <w:r>
              <w:rPr>
                <w:rFonts w:ascii="NanumSquare" w:hAnsi="NanumSquare" w:eastAsia="NanumSquare"/>
                <w:b/>
                <w:sz w:val="20"/>
              </w:rPr>
              <w:t>고정 우선순위</w:t>
              <w:br/>
            </w:r>
            <w:r>
              <w:rPr>
                <w:rFonts w:ascii="NanumSquare" w:hAnsi="NanumSquare" w:eastAsia="NanumSquare"/>
                <w:sz w:val="18"/>
              </w:rPr>
              <w:t>HARD_IMPAIRMENT → PORTFOLIO_SURVIVAL → DYNAMIC_PROFIT_FLOOR → CONCENTRATION/LIQUIDITY → OPPORTUNITY_COST → REENTRY_OPTION</w:t>
            </w:r>
          </w:p>
        </w:tc>
        <w:trPr>
          <w:tblHeader/>
        </w:trPr>
      </w:tr>
    </w:tbl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628"/>
        <w:gridCol w:w="2628"/>
        <w:gridCol w:w="2628"/>
        <w:gridCol w:w="2628"/>
      </w:tblGrid>
      <w:tr>
        <w:tc>
          <w:tcPr>
            <w:tcW w:type="dxa" w:w="1728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정책</w:t>
            </w:r>
          </w:p>
        </w:tc>
        <w:tc>
          <w:tcPr>
            <w:tcW w:type="dxa" w:w="2880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조건</w:t>
            </w:r>
          </w:p>
        </w:tc>
        <w:tc>
          <w:tcPr>
            <w:tcW w:type="dxa" w:w="2448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행동</w:t>
            </w:r>
          </w:p>
        </w:tc>
        <w:tc>
          <w:tcPr>
            <w:tcW w:type="dxa" w:w="3816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불변조건</w:t>
            </w:r>
          </w:p>
        </w:tc>
        <w:trPr>
          <w:tblHeader/>
        </w:trPr>
      </w:tr>
      <w:tr>
        <w:tc>
          <w:tcPr>
            <w:tcW w:type="dxa" w:w="172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ALG-SELL-001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승인 영구가치훼손</w:t>
            </w:r>
          </w:p>
        </w:tc>
        <w:tc>
          <w:tcPr>
            <w:tcW w:type="dxa" w:w="244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80~100% 매도</w:t>
            </w:r>
          </w:p>
        </w:tc>
        <w:tc>
          <w:tcPr>
            <w:tcW w:type="dxa" w:w="3816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하위 점수 상쇄·자동재진입 금지</w:t>
            </w:r>
          </w:p>
        </w:tc>
      </w:tr>
      <w:tr>
        <w:tc>
          <w:tcPr>
            <w:tcW w:type="dxa" w:w="172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ALG-SELL-PORT</w:t>
            </w:r>
          </w:p>
        </w:tc>
        <w:tc>
          <w:tcPr>
            <w:tcW w:type="dxa" w:w="288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자본바닥/생존 위반</w:t>
            </w:r>
          </w:p>
        </w:tc>
        <w:tc>
          <w:tcPr>
            <w:tcW w:type="dxa" w:w="244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위험예산 축소</w:t>
            </w:r>
          </w:p>
        </w:tc>
        <w:tc>
          <w:tcPr>
            <w:tcW w:type="dxa" w:w="3816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필요 시 Core 하회</w:t>
            </w:r>
          </w:p>
        </w:tc>
      </w:tr>
      <w:tr>
        <w:tc>
          <w:tcPr>
            <w:tcW w:type="dxa" w:w="172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ALG-SELL-002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보호선 1.5 ATR 이상 gap</w:t>
            </w:r>
          </w:p>
        </w:tc>
        <w:tc>
          <w:tcPr>
            <w:tcW w:type="dxa" w:w="244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Lot 30~50%</w:t>
            </w:r>
          </w:p>
        </w:tc>
        <w:tc>
          <w:tcPr>
            <w:tcW w:type="dxa" w:w="3816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Strategic Core 보존</w:t>
            </w:r>
          </w:p>
        </w:tc>
      </w:tr>
      <w:tr>
        <w:tc>
          <w:tcPr>
            <w:tcW w:type="dxa" w:w="172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ALG-SELL-003</w:t>
            </w:r>
          </w:p>
        </w:tc>
        <w:tc>
          <w:tcPr>
            <w:tcW w:type="dxa" w:w="288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2개 종가 연속 이탈</w:t>
            </w:r>
          </w:p>
        </w:tc>
        <w:tc>
          <w:tcPr>
            <w:tcW w:type="dxa" w:w="244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Lot 15~25%</w:t>
            </w:r>
          </w:p>
        </w:tc>
        <w:tc>
          <w:tcPr>
            <w:tcW w:type="dxa" w:w="3816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cooldown·중복결정 방지</w:t>
            </w:r>
          </w:p>
        </w:tc>
      </w:tr>
      <w:tr>
        <w:tc>
          <w:tcPr>
            <w:tcW w:type="dxa" w:w="172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ALG-SELL-004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집중/유동성 초과</w:t>
            </w:r>
          </w:p>
        </w:tc>
        <w:tc>
          <w:tcPr>
            <w:tcW w:type="dxa" w:w="244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초과분+버퍼</w:t>
            </w:r>
          </w:p>
        </w:tc>
        <w:tc>
          <w:tcPr>
            <w:tcW w:type="dxa" w:w="3816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단일/섹터/클러스터/ADV</w:t>
            </w:r>
          </w:p>
        </w:tc>
      </w:tr>
      <w:tr>
        <w:tc>
          <w:tcPr>
            <w:tcW w:type="dxa" w:w="172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ALG-SELL-005</w:t>
            </w:r>
          </w:p>
        </w:tc>
        <w:tc>
          <w:tcPr>
            <w:tcW w:type="dxa" w:w="288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비용후 교체우위 하단&gt;0</w:t>
            </w:r>
          </w:p>
        </w:tc>
        <w:tc>
          <w:tcPr>
            <w:tcW w:type="dxa" w:w="244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Lot 10~25%</w:t>
            </w:r>
          </w:p>
        </w:tc>
        <w:tc>
          <w:tcPr>
            <w:tcW w:type="dxa" w:w="3816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Fee/Tax/FX/Slippage PIT</w:t>
            </w:r>
          </w:p>
        </w:tc>
      </w:tr>
    </w:tbl>
    <w:p/>
    <w:p>
      <w:pPr>
        <w:pStyle w:val="Heading2"/>
      </w:pPr>
      <w:r>
        <w:t>v16 SellDecisionEvidenceGuard</w:t>
      </w:r>
    </w:p>
    <w:p>
      <w:pPr>
        <w:pStyle w:val="ListBullet"/>
      </w:pPr>
      <w:r>
        <w:t>EvidenceId·DatasetId·ModelVersion·ConfigVersion·CodeSha 누락을 차단한다.</w:t>
      </w:r>
    </w:p>
    <w:p>
      <w:pPr>
        <w:pStyle w:val="ListBullet"/>
      </w:pPr>
      <w:r>
        <w:t>PublishedAtCutoff가 AsOf 이후면 look-ahead로 차단한다.</w:t>
      </w:r>
    </w:p>
    <w:p>
      <w:pPr>
        <w:pStyle w:val="ListBullet"/>
      </w:pPr>
      <w:r>
        <w:t>SellRatioOfLot·CurrentPortfolioWeight·StrategicCoreFloorWeight·TargetPortfolioWeightAfter는 0~1 단위를 강제한다.</w:t>
      </w:r>
    </w:p>
    <w:p>
      <w:pPr>
        <w:pStyle w:val="ListBullet"/>
      </w:pPr>
      <w:r>
        <w:t>매도 결정이 오히려 TargetPortfolioWeightAfter를 증가시키는 오류를 차단한다.</w:t>
      </w:r>
    </w:p>
    <w:p>
      <w:pPr>
        <w:pStyle w:val="Heading2"/>
      </w:pPr>
      <w:r>
        <w:t>재진입</w:t>
      </w:r>
    </w:p>
    <w:p>
      <w:pPr>
        <w:pStyle w:val="ListBullet"/>
      </w:pPr>
      <w:r>
        <w:t>비가치훼손 매도와 동시에 ReentryWatch 생성.</w:t>
      </w:r>
    </w:p>
    <w:p>
      <w:pPr>
        <w:pStyle w:val="ListBullet"/>
      </w:pPr>
      <w:r>
        <w:t>최소 10거래세션·상승 SMA50·직전 20일 고점·단계 간 10세션·126세션 만료.</w:t>
      </w:r>
    </w:p>
    <w:p>
      <w:pPr>
        <w:pStyle w:val="ListBullet"/>
      </w:pPr>
      <w:r>
        <w:t>새 CycleId·새 Lot·단계 중복 0.</w:t>
      </w:r>
    </w:p>
    <w:p>
      <w:r>
        <w:br w:type="page"/>
      </w:r>
    </w:p>
    <w:p>
      <w:pPr>
        <w:pStyle w:val="Heading1"/>
      </w:pPr>
      <w:r>
        <w:t>5. 데이터 정합성·정규화/역정규화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504"/>
        <w:gridCol w:w="3504"/>
        <w:gridCol w:w="3504"/>
      </w:tblGrid>
      <w:tr>
        <w:tc>
          <w:tcPr>
            <w:tcW w:type="dxa" w:w="864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Layer</w:t>
            </w:r>
          </w:p>
        </w:tc>
        <w:tc>
          <w:tcPr>
            <w:tcW w:type="dxa" w:w="5112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내용</w:t>
            </w:r>
          </w:p>
        </w:tc>
        <w:tc>
          <w:tcPr>
            <w:tcW w:type="dxa" w:w="4536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불변조건</w:t>
            </w:r>
          </w:p>
        </w:tc>
        <w:trPr>
          <w:tblHeader/>
        </w:trPr>
      </w:tr>
      <w:tr>
        <w:tc>
          <w:tcPr>
            <w:tcW w:type="dxa" w:w="86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L0</w:t>
            </w:r>
          </w:p>
        </w:tc>
        <w:tc>
          <w:tcPr>
            <w:tcW w:type="dxa" w:w="5112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Source catalog/license/SLA/schema</w:t>
            </w:r>
          </w:p>
        </w:tc>
        <w:tc>
          <w:tcPr>
            <w:tcW w:type="dxa" w:w="4536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미승인 source 금지</w:t>
            </w:r>
          </w:p>
        </w:tc>
      </w:tr>
      <w:tr>
        <w:tc>
          <w:tcPr>
            <w:tcW w:type="dxa" w:w="86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L1</w:t>
            </w:r>
          </w:p>
        </w:tc>
        <w:tc>
          <w:tcPr>
            <w:tcW w:type="dxa" w:w="5112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Raw payload/hash/event/published/ingested</w:t>
            </w:r>
          </w:p>
        </w:tc>
        <w:tc>
          <w:tcPr>
            <w:tcW w:type="dxa" w:w="4536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append-only</w:t>
            </w:r>
          </w:p>
        </w:tc>
      </w:tr>
      <w:tr>
        <w:tc>
          <w:tcPr>
            <w:tcW w:type="dxa" w:w="86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L2</w:t>
            </w:r>
          </w:p>
        </w:tc>
        <w:tc>
          <w:tcPr>
            <w:tcW w:type="dxa" w:w="5112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Canonical PIT price/CA/fundamental/cost</w:t>
            </w:r>
          </w:p>
        </w:tc>
        <w:tc>
          <w:tcPr>
            <w:tcW w:type="dxa" w:w="4536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revision·valid time·tradable session</w:t>
            </w:r>
          </w:p>
        </w:tc>
      </w:tr>
      <w:tr>
        <w:tc>
          <w:tcPr>
            <w:tcW w:type="dxa" w:w="86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L3</w:t>
            </w:r>
          </w:p>
        </w:tc>
        <w:tc>
          <w:tcPr>
            <w:tcW w:type="dxa" w:w="5112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DQ/quarantine/lineage/dataset manifest</w:t>
            </w:r>
          </w:p>
        </w:tc>
        <w:tc>
          <w:tcPr>
            <w:tcW w:type="dxa" w:w="4536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격리 데이터 추천 금지</w:t>
            </w:r>
          </w:p>
        </w:tc>
      </w:tr>
      <w:tr>
        <w:tc>
          <w:tcPr>
            <w:tcW w:type="dxa" w:w="86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L4</w:t>
            </w:r>
          </w:p>
        </w:tc>
        <w:tc>
          <w:tcPr>
            <w:tcW w:type="dxa" w:w="5112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Feature/Forecast/Risk/Evidence</w:t>
            </w:r>
          </w:p>
        </w:tc>
        <w:tc>
          <w:tcPr>
            <w:tcW w:type="dxa" w:w="4536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Dataset/Model/Config/Code/Contract SHA</w:t>
            </w:r>
          </w:p>
        </w:tc>
      </w:tr>
      <w:tr>
        <w:tc>
          <w:tcPr>
            <w:tcW w:type="dxa" w:w="86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L5</w:t>
            </w:r>
          </w:p>
        </w:tc>
        <w:tc>
          <w:tcPr>
            <w:tcW w:type="dxa" w:w="5112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Ledger/Decision/Review/Publish/Outcome/Reconciliation</w:t>
            </w:r>
          </w:p>
        </w:tc>
        <w:tc>
          <w:tcPr>
            <w:tcW w:type="dxa" w:w="4536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append/reversal/correction</w:t>
            </w:r>
          </w:p>
        </w:tc>
      </w:tr>
      <w:tr>
        <w:tc>
          <w:tcPr>
            <w:tcW w:type="dxa" w:w="86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L6</w:t>
            </w:r>
          </w:p>
        </w:tc>
        <w:tc>
          <w:tcPr>
            <w:tcW w:type="dxa" w:w="5112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Read Model</w:t>
            </w:r>
          </w:p>
        </w:tc>
        <w:tc>
          <w:tcPr>
            <w:tcW w:type="dxa" w:w="4536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ProjectionVersion/Watermark/Rebuild/Stale</w:t>
            </w:r>
          </w:p>
        </w:tc>
      </w:tr>
      <w:tr>
        <w:tc>
          <w:tcPr>
            <w:tcW w:type="dxa" w:w="86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L7</w:t>
            </w:r>
          </w:p>
        </w:tc>
        <w:tc>
          <w:tcPr>
            <w:tcW w:type="dxa" w:w="5112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Backtest/ModelCard/Release</w:t>
            </w:r>
          </w:p>
        </w:tc>
        <w:tc>
          <w:tcPr>
            <w:tcW w:type="dxa" w:w="4536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artifact hash·environment manifest</w:t>
            </w:r>
          </w:p>
        </w:tc>
      </w:tr>
    </w:tbl>
    <w:p/>
    <w:p>
      <w:pPr>
        <w:pStyle w:val="Heading2"/>
      </w:pPr>
      <w:r>
        <w:t>v16 DB Delta</w:t>
      </w:r>
    </w:p>
    <w:p>
      <w:pPr>
        <w:pStyle w:val="ListBullet"/>
      </w:pPr>
      <w:r>
        <w:t>model_operation_lease: operation/scope 단일 lease, fencing token, heartbeat, expiry, dispatch revision.</w:t>
      </w:r>
    </w:p>
    <w:p>
      <w:pPr>
        <w:pStyle w:val="ListBullet"/>
      </w:pPr>
      <w:r>
        <w:t>model_evaluation_reconciliation: 누락·중복·지연·revision 재계산 계획의 append-only 증거.</w:t>
      </w:r>
    </w:p>
    <w:p>
      <w:pPr>
        <w:pStyle w:val="ListBullet"/>
      </w:pPr>
      <w:r>
        <w:t>projection_rebuild_request: before/after hash와 상태 전이.</w:t>
      </w:r>
    </w:p>
    <w:p>
      <w:pPr>
        <w:pStyle w:val="ListBullet"/>
      </w:pPr>
      <w:r>
        <w:t>ui_adapter_compatibility_evidence: contract/a11y/visual/performance/rollback 증거.</w:t>
      </w:r>
    </w:p>
    <w:p>
      <w:pPr>
        <w:pStyle w:val="ListBullet"/>
      </w:pPr>
      <w:r>
        <w:t>0021 Migration은 PostgreSQL fresh/upgrade/re-run/failure recovery 전 생산 아님.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512"/>
      </w:tblGrid>
      <w:tr>
        <w:tc>
          <w:tcPr>
            <w:tcW w:type="dxa" w:w="10512"/>
            <w:shd w:fill="FFF2CC"/>
          </w:tcPr>
          <w:p>
            <w:r/>
            <w:r>
              <w:rPr>
                <w:rFonts w:ascii="NanumSquare" w:hAnsi="NanumSquare" w:eastAsia="NanumSquare"/>
                <w:b/>
                <w:sz w:val="20"/>
              </w:rPr>
              <w:t>정규화 원칙</w:t>
              <w:br/>
            </w:r>
            <w:r>
              <w:rPr>
                <w:rFonts w:ascii="NanumSquare" w:hAnsi="NanumSquare" w:eastAsia="NanumSquare"/>
                <w:sz w:val="18"/>
              </w:rPr>
              <w:t>원장·비용·PIT·Evaluation Evidence는 정규화하고, 화면 성능을 위한 역정규화는 Projection에만 허용한다. Projection에는 Owner·Version·Watermark·Stale·Rebuild 계약이 필수다.</w:t>
            </w:r>
          </w:p>
        </w:tc>
        <w:trPr>
          <w:tblHeader/>
        </w:trPr>
      </w:tr>
    </w:tbl>
    <w:p/>
    <w:p>
      <w:r>
        <w:br w:type="page"/>
      </w:r>
    </w:p>
    <w:p>
      <w:pPr>
        <w:pStyle w:val="Heading1"/>
      </w:pPr>
      <w:r>
        <w:t>6. FE UI Adapter v4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512"/>
      </w:tblGrid>
      <w:tr>
        <w:tc>
          <w:tcPr>
            <w:tcW w:type="dxa" w:w="10512"/>
            <w:shd w:fill="E2F0D9"/>
          </w:tcPr>
          <w:p>
            <w:r/>
            <w:r>
              <w:rPr>
                <w:rFonts w:ascii="NanumSquare" w:hAnsi="NanumSquare" w:eastAsia="NanumSquare"/>
                <w:b/>
                <w:sz w:val="20"/>
              </w:rPr>
              <w:t>의존 방향</w:t>
              <w:br/>
            </w:r>
            <w:r>
              <w:rPr>
                <w:rFonts w:ascii="NanumSquare" w:hAnsi="NanumSquare" w:eastAsia="NanumSquare"/>
                <w:sz w:val="18"/>
              </w:rPr>
              <w:t>Feature → Standard Screen/CRUD → Ks Facade → UiAdapter v4 → PrimeVue/AG Grid 또는 Native Reference. Feature는 vendor를 직접 import하지 않는다.</w:t>
            </w:r>
          </w:p>
        </w:tc>
        <w:trPr>
          <w:tblHeader/>
        </w:trPr>
      </w:tr>
    </w:tbl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56"/>
        <w:gridCol w:w="5256"/>
      </w:tblGrid>
      <w:tr>
        <w:tc>
          <w:tcPr>
            <w:tcW w:type="dxa" w:w="2160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분류</w:t>
            </w:r>
          </w:p>
        </w:tc>
        <w:tc>
          <w:tcPr>
            <w:tcW w:type="dxa" w:w="8352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Capability/계약</w:t>
            </w:r>
          </w:p>
        </w:tc>
        <w:trPr>
          <w:tblHeader/>
        </w:trPr>
      </w:tr>
      <w:tr>
        <w:tc>
          <w:tcPr>
            <w:tcW w:type="dxa" w:w="216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입력</w:t>
            </w:r>
          </w:p>
        </w:tc>
        <w:tc>
          <w:tcPr>
            <w:tcW w:type="dxa" w:w="8352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TextField, TextArea, Select, MultiSelect, Checkbox, DateField, NumberField</w:t>
            </w:r>
          </w:p>
        </w:tc>
      </w:tr>
      <w:tr>
        <w:tc>
          <w:tcPr>
            <w:tcW w:type="dxa" w:w="216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행동/상태</w:t>
            </w:r>
          </w:p>
        </w:tc>
        <w:tc>
          <w:tcPr>
            <w:tcW w:type="dxa" w:w="8352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Button, Dialog, StatusTag, InlineMessage</w:t>
            </w:r>
          </w:p>
        </w:tc>
      </w:tr>
      <w:tr>
        <w:tc>
          <w:tcPr>
            <w:tcW w:type="dxa" w:w="216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탐색/목록</w:t>
            </w:r>
          </w:p>
        </w:tc>
        <w:tc>
          <w:tcPr>
            <w:tcW w:type="dxa" w:w="8352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Paginator, Tabs, DataGrid</w:t>
            </w:r>
          </w:p>
        </w:tc>
      </w:tr>
      <w:tr>
        <w:tc>
          <w:tcPr>
            <w:tcW w:type="dxa" w:w="216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호환성</w:t>
            </w:r>
          </w:p>
        </w:tc>
        <w:tc>
          <w:tcPr>
            <w:tcW w:type="dxa" w:w="8352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contract version·capability·component·production eligibility report</w:t>
            </w:r>
          </w:p>
        </w:tc>
      </w:tr>
      <w:tr>
        <w:tc>
          <w:tcPr>
            <w:tcW w:type="dxa" w:w="216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선택</w:t>
            </w:r>
          </w:p>
        </w:tc>
        <w:tc>
          <w:tcPr>
            <w:tcW w:type="dxa" w:w="8352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startup only; runtime global provider mutation 금지</w:t>
            </w:r>
          </w:p>
        </w:tc>
      </w:tr>
      <w:tr>
        <w:tc>
          <w:tcPr>
            <w:tcW w:type="dxa" w:w="216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실패</w:t>
            </w:r>
          </w:p>
        </w:tc>
        <w:tc>
          <w:tcPr>
            <w:tcW w:type="dxa" w:w="8352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미지원 capability/contract는 fail-fast</w:t>
            </w:r>
          </w:p>
        </w:tc>
      </w:tr>
    </w:tbl>
    <w:p/>
    <w:p>
      <w:pPr>
        <w:pStyle w:val="Heading2"/>
      </w:pPr>
      <w:r>
        <w:t>v16 표준 컴포넌트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504"/>
        <w:gridCol w:w="3504"/>
        <w:gridCol w:w="3504"/>
      </w:tblGrid>
      <w:tr>
        <w:tc>
          <w:tcPr>
            <w:tcW w:type="dxa" w:w="2592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컴포넌트</w:t>
            </w:r>
          </w:p>
        </w:tc>
        <w:tc>
          <w:tcPr>
            <w:tcW w:type="dxa" w:w="5184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책임</w:t>
            </w:r>
          </w:p>
        </w:tc>
        <w:tc>
          <w:tcPr>
            <w:tcW w:type="dxa" w:w="2880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증거</w:t>
            </w:r>
          </w:p>
        </w:tc>
        <w:trPr>
          <w:tblHeader/>
        </w:trPr>
      </w:tr>
      <w:tr>
        <w:tc>
          <w:tcPr>
            <w:tcW w:type="dxa" w:w="2592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FieldShell</w:t>
            </w:r>
          </w:p>
        </w:tc>
        <w:tc>
          <w:tcPr>
            <w:tcW w:type="dxa" w:w="518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label·required·help/error·aria-describedby·alert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a11y contract</w:t>
            </w:r>
          </w:p>
        </w:tc>
      </w:tr>
      <w:tr>
        <w:tc>
          <w:tcPr>
            <w:tcW w:type="dxa" w:w="2592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KsDataContextHeader</w:t>
            </w:r>
          </w:p>
        </w:tc>
        <w:tc>
          <w:tcPr>
            <w:tcW w:type="dxa" w:w="518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as-of·VersionSet·Projection·Watermark·Correlation·Stale</w:t>
            </w:r>
          </w:p>
        </w:tc>
        <w:tc>
          <w:tcPr>
            <w:tcW w:type="dxa" w:w="288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고객/운영 설명가능성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KsCommandBar</w:t>
            </w:r>
          </w:p>
        </w:tc>
        <w:tc>
          <w:tcPr>
            <w:tcW w:type="dxa" w:w="518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페이지 행동 순서·disabled/loading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키보드·중복행동 방지</w:t>
            </w:r>
          </w:p>
        </w:tc>
      </w:tr>
      <w:tr>
        <w:tc>
          <w:tcPr>
            <w:tcW w:type="dxa" w:w="2592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UiAdapterCompatibility</w:t>
            </w:r>
          </w:p>
        </w:tc>
        <w:tc>
          <w:tcPr>
            <w:tcW w:type="dxa" w:w="518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공급자 호환성 report/assert</w:t>
            </w:r>
          </w:p>
        </w:tc>
        <w:tc>
          <w:tcPr>
            <w:tcW w:type="dxa" w:w="288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두 Provider conformance</w:t>
            </w:r>
          </w:p>
        </w:tc>
      </w:tr>
    </w:tbl>
    <w:p/>
    <w:p>
      <w:pPr>
        <w:pStyle w:val="Heading2"/>
      </w:pPr>
      <w:r>
        <w:t>Provider 교체 Gate</w:t>
      </w:r>
    </w:p>
    <w:p>
      <w:pPr>
        <w:pStyle w:val="ListNumber"/>
      </w:pPr>
      <w:r>
        <w:t>Contract conformance</w:t>
      </w:r>
    </w:p>
    <w:p>
      <w:pPr>
        <w:pStyle w:val="ListNumber"/>
      </w:pPr>
      <w:r>
        <w:t>Keyboard/focus/accessible-name</w:t>
      </w:r>
    </w:p>
    <w:p>
      <w:pPr>
        <w:pStyle w:val="ListNumber"/>
      </w:pPr>
      <w:r>
        <w:t>T01~T10 상태 회귀</w:t>
      </w:r>
    </w:p>
    <w:p>
      <w:pPr>
        <w:pStyle w:val="ListNumber"/>
      </w:pPr>
      <w:r>
        <w:t>Visual regression</w:t>
      </w:r>
    </w:p>
    <w:p>
      <w:pPr>
        <w:pStyle w:val="ListNumber"/>
      </w:pPr>
      <w:r>
        <w:t>대량목록 performance budget</w:t>
      </w:r>
    </w:p>
    <w:p>
      <w:pPr>
        <w:pStyle w:val="ListNumber"/>
      </w:pPr>
      <w:r>
        <w:t>SBOM/license</w:t>
      </w:r>
    </w:p>
    <w:p>
      <w:pPr>
        <w:pStyle w:val="ListNumber"/>
      </w:pPr>
      <w:r>
        <w:t>maker-checker compatibility evidence</w:t>
      </w:r>
    </w:p>
    <w:p>
      <w:pPr>
        <w:pStyle w:val="ListNumber"/>
      </w:pPr>
      <w:r>
        <w:t>Rollback rehearsal</w:t>
      </w:r>
    </w:p>
    <w:p>
      <w:r>
        <w:br w:type="page"/>
      </w:r>
    </w:p>
    <w:p>
      <w:pPr>
        <w:pStyle w:val="Heading1"/>
      </w:pPr>
      <w:r>
        <w:t>7. 표준 Layout·CRUD v2·화면 타입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504"/>
        <w:gridCol w:w="3504"/>
        <w:gridCol w:w="3504"/>
      </w:tblGrid>
      <w:tr>
        <w:tc>
          <w:tcPr>
            <w:tcW w:type="dxa" w:w="2304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표준</w:t>
            </w:r>
          </w:p>
        </w:tc>
        <w:tc>
          <w:tcPr>
            <w:tcW w:type="dxa" w:w="4464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책임</w:t>
            </w:r>
          </w:p>
        </w:tc>
        <w:tc>
          <w:tcPr>
            <w:tcW w:type="dxa" w:w="3744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핵심 증거</w:t>
            </w:r>
          </w:p>
        </w:tc>
        <w:trPr>
          <w:tblHeader/>
        </w:trPr>
      </w:tr>
      <w:tr>
        <w:tc>
          <w:tcPr>
            <w:tcW w:type="dxa" w:w="230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AppShell/Page</w:t>
            </w:r>
          </w:p>
        </w:tc>
        <w:tc>
          <w:tcPr>
            <w:tcW w:type="dxa" w:w="446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환경·자동화 경계·title/as-of/version</w:t>
            </w:r>
          </w:p>
        </w:tc>
        <w:tc>
          <w:tcPr>
            <w:tcW w:type="dxa" w:w="374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landmark·skip link</w:t>
            </w:r>
          </w:p>
        </w:tc>
      </w:tr>
      <w:tr>
        <w:tc>
          <w:tcPr>
            <w:tcW w:type="dxa" w:w="230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CrudWorkspace</w:t>
            </w:r>
          </w:p>
        </w:tc>
        <w:tc>
          <w:tcPr>
            <w:tcW w:type="dxa" w:w="446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toolbar/main/aside/action</w:t>
            </w:r>
          </w:p>
        </w:tc>
        <w:tc>
          <w:tcPr>
            <w:tcW w:type="dxa" w:w="374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업무순서·responsive</w:t>
            </w:r>
          </w:p>
        </w:tc>
      </w:tr>
      <w:tr>
        <w:tc>
          <w:tcPr>
            <w:tcW w:type="dxa" w:w="230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OperationsConsole</w:t>
            </w:r>
          </w:p>
        </w:tc>
        <w:tc>
          <w:tcPr>
            <w:tcW w:type="dxa" w:w="446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JobRun·Lease·Watermark·Owner·재처리</w:t>
            </w:r>
          </w:p>
        </w:tc>
        <w:tc>
          <w:tcPr>
            <w:tcW w:type="dxa" w:w="374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운영 E2E</w:t>
            </w:r>
          </w:p>
        </w:tc>
      </w:tr>
      <w:tr>
        <w:tc>
          <w:tcPr>
            <w:tcW w:type="dxa" w:w="230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StandardCrudList</w:t>
            </w:r>
          </w:p>
        </w:tc>
        <w:tc>
          <w:tcPr>
            <w:tcW w:type="dxa" w:w="446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filter/grid/paging/detail</w:t>
            </w:r>
          </w:p>
        </w:tc>
        <w:tc>
          <w:tcPr>
            <w:tcW w:type="dxa" w:w="374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URL round-trip·server metadata</w:t>
            </w:r>
          </w:p>
        </w:tc>
      </w:tr>
      <w:tr>
        <w:tc>
          <w:tcPr>
            <w:tcW w:type="dxa" w:w="230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StandardCrudForm</w:t>
            </w:r>
          </w:p>
        </w:tc>
        <w:tc>
          <w:tcPr>
            <w:tcW w:type="dxa" w:w="446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Zod·dirty/readonly·preview</w:t>
            </w:r>
          </w:p>
        </w:tc>
        <w:tc>
          <w:tcPr>
            <w:tcW w:type="dxa" w:w="374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If-Match·Idempotency·409/412</w:t>
            </w:r>
          </w:p>
        </w:tc>
      </w:tr>
      <w:tr>
        <w:tc>
          <w:tcPr>
            <w:tcW w:type="dxa" w:w="230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ReviewWorkbench</w:t>
            </w:r>
          </w:p>
        </w:tc>
        <w:tc>
          <w:tcPr>
            <w:tcW w:type="dxa" w:w="446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maker/checker·evidence·exception</w:t>
            </w:r>
          </w:p>
        </w:tc>
        <w:tc>
          <w:tcPr>
            <w:tcW w:type="dxa" w:w="374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본인작성 단독승인 0</w:t>
            </w:r>
          </w:p>
        </w:tc>
      </w:tr>
    </w:tbl>
    <w:p/>
    <w:p>
      <w:pPr>
        <w:pStyle w:val="Heading2"/>
      </w:pPr>
      <w:r>
        <w:t>CRUD Resource Contract v2</w:t>
      </w:r>
    </w:p>
    <w:p>
      <w:pPr>
        <w:pStyle w:val="ListBullet"/>
      </w:pPr>
      <w:r>
        <w:t>Query/Row/Form은 Zod runtime contract를 가진다.</w:t>
      </w:r>
    </w:p>
    <w:p>
      <w:pPr>
        <w:pStyle w:val="ListBullet"/>
      </w:pPr>
      <w:r>
        <w:t>Server state는 TanStack Query, Session/Role/UI preference는 Pinia, Form은 vee-validate+Zod, 공유상태는 vue-router가 소유한다.</w:t>
      </w:r>
    </w:p>
    <w:p>
      <w:pPr>
        <w:pStyle w:val="ListBullet"/>
      </w:pPr>
      <w:r>
        <w:t>민감필드는 grid column 계약과 연결하여 mask/export 권한을 관리한다.</w:t>
      </w:r>
    </w:p>
    <w:p>
      <w:pPr>
        <w:pStyle w:val="ListBullet"/>
      </w:pPr>
      <w:r>
        <w:t>useOptimisticCommand는 Idempotency-Key와 If-Match를 적용하고 409/412 conflict를 숨기지 않는다.</w:t>
      </w:r>
    </w:p>
    <w:p>
      <w:pPr>
        <w:pStyle w:val="Heading2"/>
      </w:pPr>
      <w:r>
        <w:t>T01~T10</w:t>
      </w:r>
    </w:p>
    <w:p>
      <w:pPr>
        <w:pStyle w:val="ListBullet"/>
      </w:pPr>
      <w:r>
        <w:t>T01 List CRUD, T02 Detail, T03 Form, T04 Master-Detail, T05 Review, T06 Wizard, T07 Dashboard, T08 Batch Ops, T09 Reconciliation, T10 Governance.</w:t>
      </w:r>
    </w:p>
    <w:p>
      <w:pPr>
        <w:pStyle w:val="ListBullet"/>
      </w:pPr>
      <w:r>
        <w:t>READY/LOADING/EMPTY/WARN/ERROR/UNAUTHORIZED/FORBIDDEN/PARTIAL/DIRTY/CONFLICT/EXPIRED/READONLY/PROCESSING 상태를 공통 계약으로 유지한다.</w:t>
      </w:r>
    </w:p>
    <w:p>
      <w:r>
        <w:br w:type="page"/>
      </w:r>
    </w:p>
    <w:p>
      <w:pPr>
        <w:pStyle w:val="Heading1"/>
      </w:pPr>
      <w:r>
        <w:t>8. BE·API·Outbox/Inbox·ExecutionEnvelope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504"/>
        <w:gridCol w:w="3504"/>
        <w:gridCol w:w="3504"/>
      </w:tblGrid>
      <w:tr>
        <w:tc>
          <w:tcPr>
            <w:tcW w:type="dxa" w:w="1728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계층</w:t>
            </w:r>
          </w:p>
        </w:tc>
        <w:tc>
          <w:tcPr>
            <w:tcW w:type="dxa" w:w="4320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책임</w:t>
            </w:r>
          </w:p>
        </w:tc>
        <w:tc>
          <w:tcPr>
            <w:tcW w:type="dxa" w:w="4320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Done 증거</w:t>
            </w:r>
          </w:p>
        </w:tc>
        <w:trPr>
          <w:tblHeader/>
        </w:trPr>
      </w:tr>
      <w:tr>
        <w:tc>
          <w:tcPr>
            <w:tcW w:type="dxa" w:w="172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Endpoint</w:t>
            </w:r>
          </w:p>
        </w:tc>
        <w:tc>
          <w:tcPr>
            <w:tcW w:type="dxa" w:w="432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Auth/권한/Header/Validator/ProblemDetails</w:t>
            </w:r>
          </w:p>
        </w:tc>
        <w:tc>
          <w:tcPr>
            <w:tcW w:type="dxa" w:w="432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401/403/409/412/422/429/503</w:t>
            </w:r>
          </w:p>
        </w:tc>
      </w:tr>
      <w:tr>
        <w:tc>
          <w:tcPr>
            <w:tcW w:type="dxa" w:w="172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Application</w:t>
            </w:r>
          </w:p>
        </w:tc>
        <w:tc>
          <w:tcPr>
            <w:tcW w:type="dxa" w:w="432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멱등·transaction·PIT context·orchestration</w:t>
            </w:r>
          </w:p>
        </w:tc>
        <w:tc>
          <w:tcPr>
            <w:tcW w:type="dxa" w:w="432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동일 key side effect 0</w:t>
            </w:r>
          </w:p>
        </w:tc>
      </w:tr>
      <w:tr>
        <w:tc>
          <w:tcPr>
            <w:tcW w:type="dxa" w:w="172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Domain Policy</w:t>
            </w:r>
          </w:p>
        </w:tc>
        <w:tc>
          <w:tcPr>
            <w:tcW w:type="dxa" w:w="432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순수 결정·우선순위·상태전이</w:t>
            </w:r>
          </w:p>
        </w:tc>
        <w:tc>
          <w:tcPr>
            <w:tcW w:type="dxa" w:w="432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Golden/boundary/monotonic/invariant</w:t>
            </w:r>
          </w:p>
        </w:tc>
      </w:tr>
      <w:tr>
        <w:tc>
          <w:tcPr>
            <w:tcW w:type="dxa" w:w="172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Infrastructure</w:t>
            </w:r>
          </w:p>
        </w:tc>
        <w:tc>
          <w:tcPr>
            <w:tcW w:type="dxa" w:w="432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Dapper SQL·PIT read·Adapter</w:t>
            </w:r>
          </w:p>
        </w:tc>
        <w:tc>
          <w:tcPr>
            <w:tcW w:type="dxa" w:w="432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PostgreSQL integration/contract</w:t>
            </w:r>
          </w:p>
        </w:tc>
      </w:tr>
      <w:tr>
        <w:tc>
          <w:tcPr>
            <w:tcW w:type="dxa" w:w="172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Outbox/Inbox</w:t>
            </w:r>
          </w:p>
        </w:tc>
        <w:tc>
          <w:tcPr>
            <w:tcW w:type="dxa" w:w="432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same transaction·lease·dead-letter·replay</w:t>
            </w:r>
          </w:p>
        </w:tc>
        <w:tc>
          <w:tcPr>
            <w:tcW w:type="dxa" w:w="432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crash/retry/replay hash</w:t>
            </w:r>
          </w:p>
        </w:tc>
      </w:tr>
    </w:tbl>
    <w:p/>
    <w:p>
      <w:pPr>
        <w:pStyle w:val="Heading2"/>
      </w:pPr>
      <w:r>
        <w:t>ExecutionEnvelope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56"/>
        <w:gridCol w:w="5256"/>
      </w:tblGrid>
      <w:tr>
        <w:tc>
          <w:tcPr>
            <w:tcW w:type="dxa" w:w="3024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필드</w:t>
            </w:r>
          </w:p>
        </w:tc>
        <w:tc>
          <w:tcPr>
            <w:tcW w:type="dxa" w:w="7344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의미</w:t>
            </w:r>
          </w:p>
        </w:tc>
        <w:trPr>
          <w:tblHeader/>
        </w:trPr>
      </w:tr>
      <w:tr>
        <w:tc>
          <w:tcPr>
            <w:tcW w:type="dxa" w:w="302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AsOf / PublishedAtCutoff</w:t>
            </w:r>
          </w:p>
        </w:tc>
        <w:tc>
          <w:tcPr>
            <w:tcW w:type="dxa" w:w="734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결정시점과 공개가능시점; cutoff&gt;as-of 금지</w:t>
            </w:r>
          </w:p>
        </w:tc>
      </w:tr>
      <w:tr>
        <w:tc>
          <w:tcPr>
            <w:tcW w:type="dxa" w:w="302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ScopeKey / IdempotencyKey</w:t>
            </w:r>
          </w:p>
        </w:tc>
        <w:tc>
          <w:tcPr>
            <w:tcW w:type="dxa" w:w="734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업무범위와 중복 side effect 방지</w:t>
            </w:r>
          </w:p>
        </w:tc>
      </w:tr>
      <w:tr>
        <w:tc>
          <w:tcPr>
            <w:tcW w:type="dxa" w:w="302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CorrelationId</w:t>
            </w:r>
          </w:p>
        </w:tc>
        <w:tc>
          <w:tcPr>
            <w:tcW w:type="dxa" w:w="734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API→DB→Job→Event→UI 추적</w:t>
            </w:r>
          </w:p>
        </w:tc>
      </w:tr>
      <w:tr>
        <w:tc>
          <w:tcPr>
            <w:tcW w:type="dxa" w:w="302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VersionSet</w:t>
            </w:r>
          </w:p>
        </w:tc>
        <w:tc>
          <w:tcPr>
            <w:tcW w:type="dxa" w:w="734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Dataset/Model/Config/Code/Contract</w:t>
            </w:r>
          </w:p>
        </w:tc>
      </w:tr>
      <w:tr>
        <w:tc>
          <w:tcPr>
            <w:tcW w:type="dxa" w:w="302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ContentHash</w:t>
            </w:r>
          </w:p>
        </w:tc>
        <w:tc>
          <w:tcPr>
            <w:tcW w:type="dxa" w:w="734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입력/증거 불변성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512"/>
      </w:tblGrid>
      <w:tr>
        <w:tc>
          <w:tcPr>
            <w:tcW w:type="dxa" w:w="10512"/>
            <w:shd w:fill="E2F0D9"/>
          </w:tcPr>
          <w:p>
            <w:r/>
            <w:r>
              <w:rPr>
                <w:rFonts w:ascii="NanumSquare" w:hAnsi="NanumSquare" w:eastAsia="NanumSquare"/>
                <w:b/>
                <w:sz w:val="20"/>
              </w:rPr>
              <w:t>Server Evidence</w:t>
              <w:br/>
            </w:r>
            <w:r>
              <w:rPr>
                <w:rFonts w:ascii="NanumSquare" w:hAnsi="NanumSquare" w:eastAsia="NanumSquare"/>
                <w:sz w:val="18"/>
              </w:rPr>
              <w:t>생산형 SignalDecision/ModelOperation Command는 최소 식별자만 받는다. Evidence/VersionSet은 승인된 서버 PIT Context에서 해석하며 클라이언트 Evidence를 신뢰하지 않는다.</w:t>
            </w:r>
          </w:p>
        </w:tc>
        <w:trPr>
          <w:tblHeader/>
        </w:trPr>
      </w:tr>
    </w:tbl>
    <w:p/>
    <w:p>
      <w:r>
        <w:br w:type="page"/>
      </w:r>
    </w:p>
    <w:p>
      <w:pPr>
        <w:pStyle w:val="Heading1"/>
      </w:pPr>
      <w:r>
        <w:t>9. Hangfire Lease Fencing·J41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504"/>
        <w:gridCol w:w="3504"/>
        <w:gridCol w:w="3504"/>
      </w:tblGrid>
      <w:tr>
        <w:tc>
          <w:tcPr>
            <w:tcW w:type="dxa" w:w="1944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위험</w:t>
            </w:r>
          </w:p>
        </w:tc>
        <w:tc>
          <w:tcPr>
            <w:tcW w:type="dxa" w:w="4824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v16 통제</w:t>
            </w:r>
          </w:p>
        </w:tc>
        <w:tc>
          <w:tcPr>
            <w:tcW w:type="dxa" w:w="4032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완료 증거</w:t>
            </w:r>
          </w:p>
        </w:tc>
        <w:trPr>
          <w:tblHeader/>
        </w:trPr>
      </w:tr>
      <w:tr>
        <w:tc>
          <w:tcPr>
            <w:tcW w:type="dxa" w:w="194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중복 dispatcher</w:t>
            </w:r>
          </w:p>
        </w:tc>
        <w:tc>
          <w:tcPr>
            <w:tcW w:type="dxa" w:w="482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operation+scope 단일 lease</w:t>
            </w:r>
          </w:p>
        </w:tc>
        <w:tc>
          <w:tcPr>
            <w:tcW w:type="dxa" w:w="4032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DB unique/CAS</w:t>
            </w:r>
          </w:p>
        </w:tc>
      </w:tr>
      <w:tr>
        <w:tc>
          <w:tcPr>
            <w:tcW w:type="dxa" w:w="194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stale worker</w:t>
            </w:r>
          </w:p>
        </w:tc>
        <w:tc>
          <w:tcPr>
            <w:tcW w:type="dxa" w:w="482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단조 증가 fencing token</w:t>
            </w:r>
          </w:p>
        </w:tc>
        <w:tc>
          <w:tcPr>
            <w:tcW w:type="dxa" w:w="4032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낡은 token 갱신/advance 거부</w:t>
            </w:r>
          </w:p>
        </w:tc>
      </w:tr>
      <w:tr>
        <w:tc>
          <w:tcPr>
            <w:tcW w:type="dxa" w:w="194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cadence drift</w:t>
            </w:r>
          </w:p>
        </w:tc>
        <w:tc>
          <w:tcPr>
            <w:tcW w:type="dxa" w:w="482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scheduledFor anchor</w:t>
            </w:r>
          </w:p>
        </w:tc>
        <w:tc>
          <w:tcPr>
            <w:tcW w:type="dxa" w:w="4032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next due drift 0</w:t>
            </w:r>
          </w:p>
        </w:tc>
      </w:tr>
      <w:tr>
        <w:tc>
          <w:tcPr>
            <w:tcW w:type="dxa" w:w="194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오류 혼합</w:t>
            </w:r>
          </w:p>
        </w:tc>
        <w:tc>
          <w:tcPr>
            <w:tcW w:type="dxa" w:w="482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BusinessHold vs technical failure</w:t>
            </w:r>
          </w:p>
        </w:tc>
        <w:tc>
          <w:tcPr>
            <w:tcW w:type="dxa" w:w="4032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blind retry 0</w:t>
            </w:r>
          </w:p>
        </w:tc>
      </w:tr>
      <w:tr>
        <w:tc>
          <w:tcPr>
            <w:tcW w:type="dxa" w:w="194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crash/restart</w:t>
            </w:r>
          </w:p>
        </w:tc>
        <w:tc>
          <w:tcPr>
            <w:tcW w:type="dxa" w:w="482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heartbeat·expiry·transfer</w:t>
            </w:r>
          </w:p>
        </w:tc>
        <w:tc>
          <w:tcPr>
            <w:tcW w:type="dxa" w:w="4032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chaos/recovery</w:t>
            </w:r>
          </w:p>
        </w:tc>
      </w:tr>
      <w:tr>
        <w:tc>
          <w:tcPr>
            <w:tcW w:type="dxa" w:w="194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운영 사각</w:t>
            </w:r>
          </w:p>
        </w:tc>
        <w:tc>
          <w:tcPr>
            <w:tcW w:type="dxa" w:w="482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J41 Lease Integrity Audit</w:t>
            </w:r>
          </w:p>
        </w:tc>
        <w:tc>
          <w:tcPr>
            <w:tcW w:type="dxa" w:w="4032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expired/overlap/stale-token report</w:t>
            </w:r>
          </w:p>
        </w:tc>
      </w:tr>
    </w:tbl>
    <w:p/>
    <w:p>
      <w:pPr>
        <w:pStyle w:val="Heading2"/>
      </w:pPr>
      <w:r>
        <w:t>ModelOperationLease</w:t>
      </w:r>
    </w:p>
    <w:p>
      <w:pPr>
        <w:pStyle w:val="ListBullet"/>
      </w:pPr>
      <w:r>
        <w:t>Renew는 현재 token과 owner가 일치하고 expiry를 연장할 때만 허용한다.</w:t>
      </w:r>
    </w:p>
    <w:p>
      <w:pPr>
        <w:pStyle w:val="ListBullet"/>
      </w:pPr>
      <w:r>
        <w:t>Transfer는 기존 lease 만료 후에만 가능하며 token을 증가시킨다.</w:t>
      </w:r>
    </w:p>
    <w:p>
      <w:pPr>
        <w:pStyle w:val="ListBullet"/>
      </w:pPr>
      <w:r>
        <w:t>Repository CAS/DB clock tolerance는 DECISION_REQUIRED이며 runtime 구현·검증 전 완료가 아니다.</w:t>
      </w:r>
    </w:p>
    <w:p>
      <w:pPr>
        <w:pStyle w:val="ListBullet"/>
      </w:pPr>
      <w:r>
        <w:t>J41은 EvaluationOnly이며 기본 disabled다.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512"/>
      </w:tblGrid>
      <w:tr>
        <w:tc>
          <w:tcPr>
            <w:tcW w:type="dxa" w:w="10512"/>
            <w:shd w:fill="F4CCCC"/>
          </w:tcPr>
          <w:p>
            <w:r/>
            <w:r>
              <w:rPr>
                <w:rFonts w:ascii="NanumSquare" w:hAnsi="NanumSquare" w:eastAsia="NanumSquare"/>
                <w:b/>
                <w:sz w:val="20"/>
              </w:rPr>
              <w:t>운영 원칙</w:t>
              <w:br/>
            </w:r>
            <w:r>
              <w:rPr>
                <w:rFonts w:ascii="NanumSquare" w:hAnsi="NanumSquare" w:eastAsia="NanumSquare"/>
                <w:sz w:val="18"/>
              </w:rPr>
              <w:t>Scheduler가 자동 모델 변경·고객 공개·주문 제출을 수행하지 않는다. 연구/평가 queue는 고객 추천 SLA queue를 침범하지 않는다.</w:t>
            </w:r>
          </w:p>
        </w:tc>
        <w:trPr>
          <w:tblHeader/>
        </w:trPr>
      </w:tr>
    </w:tbl>
    <w:p/>
    <w:p>
      <w:r>
        <w:br w:type="page"/>
      </w:r>
    </w:p>
    <w:p>
      <w:pPr>
        <w:pStyle w:val="Heading1"/>
      </w:pPr>
      <w:r>
        <w:t>10. 지속 모델 평가·J42 Reconciliation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504"/>
        <w:gridCol w:w="3504"/>
        <w:gridCol w:w="3504"/>
      </w:tblGrid>
      <w:tr>
        <w:tc>
          <w:tcPr>
            <w:tcW w:type="dxa" w:w="1800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단계</w:t>
            </w:r>
          </w:p>
        </w:tc>
        <w:tc>
          <w:tcPr>
            <w:tcW w:type="dxa" w:w="1800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Job</w:t>
            </w:r>
          </w:p>
        </w:tc>
        <w:tc>
          <w:tcPr>
            <w:tcW w:type="dxa" w:w="7200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증거</w:t>
            </w:r>
          </w:p>
        </w:tc>
        <w:trPr>
          <w:tblHeader/>
        </w:trPr>
      </w:tr>
      <w:tr>
        <w:tc>
          <w:tcPr>
            <w:tcW w:type="dxa" w:w="180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1 FREEZE</w:t>
            </w:r>
          </w:p>
        </w:tc>
        <w:tc>
          <w:tcPr>
            <w:tcW w:type="dxa" w:w="180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J31</w:t>
            </w:r>
          </w:p>
        </w:tc>
        <w:tc>
          <w:tcPr>
            <w:tcW w:type="dxa" w:w="720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PIT cutoff·VersionSet</w:t>
            </w:r>
          </w:p>
        </w:tc>
      </w:tr>
      <w:tr>
        <w:tc>
          <w:tcPr>
            <w:tcW w:type="dxa" w:w="180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2 MATURE</w:t>
            </w:r>
          </w:p>
        </w:tc>
        <w:tc>
          <w:tcPr>
            <w:tcW w:type="dxa" w:w="180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J32</w:t>
            </w:r>
          </w:p>
        </w:tc>
        <w:tc>
          <w:tcPr>
            <w:tcW w:type="dxa" w:w="720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1/5/20/63/126/252 거래세션</w:t>
            </w:r>
          </w:p>
        </w:tc>
      </w:tr>
      <w:tr>
        <w:tc>
          <w:tcPr>
            <w:tcW w:type="dxa" w:w="180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3 SCORE</w:t>
            </w:r>
          </w:p>
        </w:tc>
        <w:tc>
          <w:tcPr>
            <w:tcW w:type="dxa" w:w="180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J10/J11</w:t>
            </w:r>
          </w:p>
        </w:tc>
        <w:tc>
          <w:tcPr>
            <w:tcW w:type="dxa" w:w="720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Outcome·Scorecard</w:t>
            </w:r>
          </w:p>
        </w:tc>
      </w:tr>
      <w:tr>
        <w:tc>
          <w:tcPr>
            <w:tcW w:type="dxa" w:w="180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4 DIAGNOSE</w:t>
            </w:r>
          </w:p>
        </w:tc>
        <w:tc>
          <w:tcPr>
            <w:tcW w:type="dxa" w:w="180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J17/J33/J34</w:t>
            </w:r>
          </w:p>
        </w:tc>
        <w:tc>
          <w:tcPr>
            <w:tcW w:type="dxa" w:w="720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Drift·Sell/Reentry·Calibration</w:t>
            </w:r>
          </w:p>
        </w:tc>
      </w:tr>
      <w:tr>
        <w:tc>
          <w:tcPr>
            <w:tcW w:type="dxa" w:w="180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5 HYPOTHESIS</w:t>
            </w:r>
          </w:p>
        </w:tc>
        <w:tc>
          <w:tcPr>
            <w:tcW w:type="dxa" w:w="180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J35</w:t>
            </w:r>
          </w:p>
        </w:tc>
        <w:tc>
          <w:tcPr>
            <w:tcW w:type="dxa" w:w="720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근거·반대증거·반증기준</w:t>
            </w:r>
          </w:p>
        </w:tc>
      </w:tr>
      <w:tr>
        <w:tc>
          <w:tcPr>
            <w:tcW w:type="dxa" w:w="180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6 CHALLENGER</w:t>
            </w:r>
          </w:p>
        </w:tc>
        <w:tc>
          <w:tcPr>
            <w:tcW w:type="dxa" w:w="180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J36</w:t>
            </w:r>
          </w:p>
        </w:tc>
        <w:tc>
          <w:tcPr>
            <w:tcW w:type="dxa" w:w="720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동결 실험·OOS·cost stress</w:t>
            </w:r>
          </w:p>
        </w:tc>
      </w:tr>
      <w:tr>
        <w:tc>
          <w:tcPr>
            <w:tcW w:type="dxa" w:w="180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7 VALIDATE</w:t>
            </w:r>
          </w:p>
        </w:tc>
        <w:tc>
          <w:tcPr>
            <w:tcW w:type="dxa" w:w="180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J19/J20/J37</w:t>
            </w:r>
          </w:p>
        </w:tc>
        <w:tc>
          <w:tcPr>
            <w:tcW w:type="dxa" w:w="720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PBO/DSR·독립검증</w:t>
            </w:r>
          </w:p>
        </w:tc>
      </w:tr>
      <w:tr>
        <w:tc>
          <w:tcPr>
            <w:tcW w:type="dxa" w:w="180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8 REVIEW</w:t>
            </w:r>
          </w:p>
        </w:tc>
        <w:tc>
          <w:tcPr>
            <w:tcW w:type="dxa" w:w="180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J22</w:t>
            </w:r>
          </w:p>
        </w:tc>
        <w:tc>
          <w:tcPr>
            <w:tcW w:type="dxa" w:w="720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Gate pack·rollback</w:t>
            </w:r>
          </w:p>
        </w:tc>
      </w:tr>
      <w:tr>
        <w:tc>
          <w:tcPr>
            <w:tcW w:type="dxa" w:w="180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9 ACTIVATE</w:t>
            </w:r>
          </w:p>
        </w:tc>
        <w:tc>
          <w:tcPr>
            <w:tcW w:type="dxa" w:w="180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MANUAL_ONLY</w:t>
            </w:r>
          </w:p>
        </w:tc>
        <w:tc>
          <w:tcPr>
            <w:tcW w:type="dxa" w:w="720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change ticket·maker-checker</w:t>
            </w:r>
          </w:p>
        </w:tc>
      </w:tr>
    </w:tbl>
    <w:p/>
    <w:p>
      <w:pPr>
        <w:pStyle w:val="Heading2"/>
      </w:pPr>
      <w:r>
        <w:t>J42 Evaluation Reconciliation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56"/>
        <w:gridCol w:w="5256"/>
      </w:tblGrid>
      <w:tr>
        <w:tc>
          <w:tcPr>
            <w:tcW w:type="dxa" w:w="3600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상태</w:t>
            </w:r>
          </w:p>
        </w:tc>
        <w:tc>
          <w:tcPr>
            <w:tcW w:type="dxa" w:w="6912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계획</w:t>
            </w:r>
          </w:p>
        </w:tc>
        <w:trPr>
          <w:tblHeader/>
        </w:trPr>
      </w:tr>
      <w:tr>
        <w:tc>
          <w:tcPr>
            <w:tcW w:type="dxa" w:w="360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평가창 없음</w:t>
            </w:r>
          </w:p>
        </w:tc>
        <w:tc>
          <w:tcPr>
            <w:tcW w:type="dxa" w:w="6912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PLAN_MISSING</w:t>
            </w:r>
          </w:p>
        </w:tc>
      </w:tr>
      <w:tr>
        <w:tc>
          <w:tcPr>
            <w:tcW w:type="dxa" w:w="360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중복/duplicate</w:t>
            </w:r>
          </w:p>
        </w:tc>
        <w:tc>
          <w:tcPr>
            <w:tcW w:type="dxa" w:w="6912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QUARANTINE_DUPLICATE</w:t>
            </w:r>
          </w:p>
        </w:tc>
      </w:tr>
      <w:tr>
        <w:tc>
          <w:tcPr>
            <w:tcW w:type="dxa" w:w="360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성숙했으나 미평가</w:t>
            </w:r>
          </w:p>
        </w:tc>
        <w:tc>
          <w:tcPr>
            <w:tcW w:type="dxa" w:w="6912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BUSINESS_HOLD_LATE</w:t>
            </w:r>
          </w:p>
        </w:tc>
      </w:tr>
      <w:tr>
        <w:tc>
          <w:tcPr>
            <w:tcW w:type="dxa" w:w="360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원천 revision 변경</w:t>
            </w:r>
          </w:p>
        </w:tc>
        <w:tc>
          <w:tcPr>
            <w:tcW w:type="dxa" w:w="6912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RECALCULATE_REVISION</w:t>
            </w:r>
          </w:p>
        </w:tc>
      </w:tr>
      <w:tr>
        <w:tc>
          <w:tcPr>
            <w:tcW w:type="dxa" w:w="360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정상</w:t>
            </w:r>
          </w:p>
        </w:tc>
        <w:tc>
          <w:tcPr>
            <w:tcW w:type="dxa" w:w="6912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NONE</w:t>
            </w:r>
          </w:p>
        </w:tc>
      </w:tr>
    </w:tbl>
    <w:p/>
    <w:p>
      <w:pPr>
        <w:pStyle w:val="ListBullet"/>
      </w:pPr>
      <w:r>
        <w:t>모든 계획은 Prediction/Calendar/Metric/Cohort/Revision VersionSet과 content hash를 가진다.</w:t>
      </w:r>
    </w:p>
    <w:p>
      <w:pPr>
        <w:pStyle w:val="ListBullet"/>
      </w:pPr>
      <w:r>
        <w:t>J42는 repair plan만 만들고 모델·정책·설정·고객 공개·주문을 변경하지 않는다.</w:t>
      </w:r>
    </w:p>
    <w:p>
      <w:pPr>
        <w:pStyle w:val="ListBullet"/>
      </w:pPr>
      <w:r>
        <w:t>실제 Handler·Repository·integration test는 기술부채로 남아 있다.</w:t>
      </w:r>
    </w:p>
    <w:p>
      <w:r>
        <w:br w:type="page"/>
      </w:r>
    </w:p>
    <w:p>
      <w:pPr>
        <w:pStyle w:val="Heading1"/>
      </w:pPr>
      <w:r>
        <w:t>11. QA·보안·운영·DR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504"/>
        <w:gridCol w:w="3504"/>
        <w:gridCol w:w="3504"/>
      </w:tblGrid>
      <w:tr>
        <w:tc>
          <w:tcPr>
            <w:tcW w:type="dxa" w:w="1584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품질축</w:t>
            </w:r>
          </w:p>
        </w:tc>
        <w:tc>
          <w:tcPr>
            <w:tcW w:type="dxa" w:w="6048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필수 검증</w:t>
            </w:r>
          </w:p>
        </w:tc>
        <w:tc>
          <w:tcPr>
            <w:tcW w:type="dxa" w:w="2880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차단</w:t>
            </w:r>
          </w:p>
        </w:tc>
        <w:trPr>
          <w:tblHeader/>
        </w:trPr>
      </w:tr>
      <w:tr>
        <w:tc>
          <w:tcPr>
            <w:tcW w:type="dxa" w:w="158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Architecture</w:t>
            </w:r>
          </w:p>
        </w:tc>
        <w:tc>
          <w:tcPr>
            <w:tcW w:type="dxa" w:w="604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모듈/namespace/schema/vendor/DateTime.Now/ID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위반 시 PR 차단</w:t>
            </w:r>
          </w:p>
        </w:tc>
      </w:tr>
      <w:tr>
        <w:tc>
          <w:tcPr>
            <w:tcW w:type="dxa" w:w="158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Algorithm</w:t>
            </w:r>
          </w:p>
        </w:tc>
        <w:tc>
          <w:tcPr>
            <w:tcW w:type="dxa" w:w="604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Golden·경계·단조성·상태·비용2배·룩어헤드</w:t>
            </w:r>
          </w:p>
        </w:tc>
        <w:tc>
          <w:tcPr>
            <w:tcW w:type="dxa" w:w="288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회귀 시 모델 활성화 금지</w:t>
            </w:r>
          </w:p>
        </w:tc>
      </w:tr>
      <w:tr>
        <w:tc>
          <w:tcPr>
            <w:tcW w:type="dxa" w:w="158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Data/DB</w:t>
            </w:r>
          </w:p>
        </w:tc>
        <w:tc>
          <w:tcPr>
            <w:tcW w:type="dxa" w:w="604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PIT·기업행사·상폐·총수익·0021 4시나리오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DQ/재현 실패 시 추천 보류</w:t>
            </w:r>
          </w:p>
        </w:tc>
      </w:tr>
      <w:tr>
        <w:tc>
          <w:tcPr>
            <w:tcW w:type="dxa" w:w="158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FE</w:t>
            </w:r>
          </w:p>
        </w:tc>
        <w:tc>
          <w:tcPr>
            <w:tcW w:type="dxa" w:w="604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Adapter v4·CRUD v2·13 state·a11y·visual</w:t>
            </w:r>
          </w:p>
        </w:tc>
        <w:tc>
          <w:tcPr>
            <w:tcW w:type="dxa" w:w="288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provider 교체/배포 차단</w:t>
            </w:r>
          </w:p>
        </w:tc>
      </w:tr>
      <w:tr>
        <w:tc>
          <w:tcPr>
            <w:tcW w:type="dxa" w:w="158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Scheduler</w:t>
            </w:r>
          </w:p>
        </w:tc>
        <w:tc>
          <w:tcPr>
            <w:tcW w:type="dxa" w:w="604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anchor·lease·token·hold·restart chaos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중복/누락 시 Gate 차단</w:t>
            </w:r>
          </w:p>
        </w:tc>
      </w:tr>
      <w:tr>
        <w:tc>
          <w:tcPr>
            <w:tcW w:type="dxa" w:w="158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Security/Ops</w:t>
            </w:r>
          </w:p>
        </w:tc>
        <w:tc>
          <w:tcPr>
            <w:tcW w:type="dxa" w:w="604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OIDC·PII redaction·SBOM·SLO·DR·kill-switch</w:t>
            </w:r>
          </w:p>
        </w:tc>
        <w:tc>
          <w:tcPr>
            <w:tcW w:type="dxa" w:w="288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Pilot/Go-Live 금지</w:t>
            </w:r>
          </w:p>
        </w:tc>
      </w:tr>
    </w:tbl>
    <w:p/>
    <w:p>
      <w:pPr>
        <w:pStyle w:val="Heading2"/>
      </w:pPr>
      <w:r>
        <w:t>배포·복구 순서</w:t>
      </w:r>
    </w:p>
    <w:p>
      <w:pPr>
        <w:pStyle w:val="ListNumber"/>
      </w:pPr>
      <w:r>
        <w:t>Evidence/Backup/VersionSet/Kill-switch precheck</w:t>
      </w:r>
    </w:p>
    <w:p>
      <w:pPr>
        <w:pStyle w:val="ListNumber"/>
      </w:pPr>
      <w:r>
        <w:t>Expand migration</w:t>
      </w:r>
    </w:p>
    <w:p>
      <w:pPr>
        <w:pStyle w:val="ListNumber"/>
      </w:pPr>
      <w:r>
        <w:t>Capabilities OFF 상태로 API/Worker/FE 배포</w:t>
      </w:r>
    </w:p>
    <w:p>
      <w:pPr>
        <w:pStyle w:val="ListNumber"/>
      </w:pPr>
      <w:r>
        <w:t>DB/Outbox/Lease/Job/API/FE smoke</w:t>
      </w:r>
    </w:p>
    <w:p>
      <w:pPr>
        <w:pStyle w:val="ListNumber"/>
      </w:pPr>
      <w:r>
        <w:t>Backfill/Projection rebuild with quota</w:t>
      </w:r>
    </w:p>
    <w:p>
      <w:pPr>
        <w:pStyle w:val="ListNumber"/>
      </w:pPr>
      <w:r>
        <w:t>Advisory only enable</w:t>
      </w:r>
    </w:p>
    <w:p>
      <w:pPr>
        <w:pStyle w:val="ListNumber"/>
      </w:pPr>
      <w:r>
        <w:t>Observe/reconcile</w:t>
      </w:r>
    </w:p>
    <w:p>
      <w:pPr>
        <w:pStyle w:val="ListNumber"/>
      </w:pPr>
      <w:r>
        <w:t>zero-use 증거 후 contract removal</w:t>
      </w:r>
    </w:p>
    <w:p>
      <w:pPr>
        <w:pStyle w:val="Heading2"/>
      </w:pPr>
      <w:r>
        <w:t>관제</w:t>
      </w:r>
    </w:p>
    <w:p>
      <w:pPr>
        <w:pStyle w:val="ListBullet"/>
      </w:pPr>
      <w:r>
        <w:t>schedule_lag, lease_overlap, stale_fencing_token, heartbeat_age</w:t>
      </w:r>
    </w:p>
    <w:p>
      <w:pPr>
        <w:pStyle w:val="ListBullet"/>
      </w:pPr>
      <w:r>
        <w:t>evaluation_window_missing/duplicate/late/revision_pending</w:t>
      </w:r>
    </w:p>
    <w:p>
      <w:pPr>
        <w:pStyle w:val="ListBullet"/>
      </w:pPr>
      <w:r>
        <w:t>evidence_hash_mismatch, projection_stale, outbox_backlog, reconciliation_break</w:t>
      </w:r>
    </w:p>
    <w:p>
      <w:pPr>
        <w:pStyle w:val="ListBullet"/>
      </w:pPr>
      <w:r>
        <w:t>모든 alert는 Owner/Secondary/Runbook/Severity/SLO와 연결한다.</w:t>
      </w:r>
    </w:p>
    <w:p>
      <w:r>
        <w:br w:type="page"/>
      </w:r>
    </w:p>
    <w:p>
      <w:pPr>
        <w:pStyle w:val="Heading1"/>
      </w:pPr>
      <w:r>
        <w:t>12. 상세 WBS·기술부채·Gate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504"/>
        <w:gridCol w:w="3504"/>
        <w:gridCol w:w="3504"/>
      </w:tblGrid>
      <w:tr>
        <w:tc>
          <w:tcPr>
            <w:tcW w:type="dxa" w:w="2232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범위</w:t>
            </w:r>
          </w:p>
        </w:tc>
        <w:tc>
          <w:tcPr>
            <w:tcW w:type="dxa" w:w="2520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WBS</w:t>
            </w:r>
          </w:p>
        </w:tc>
        <w:tc>
          <w:tcPr>
            <w:tcW w:type="dxa" w:w="5760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핵심</w:t>
            </w:r>
          </w:p>
        </w:tc>
        <w:trPr>
          <w:tblHeader/>
        </w:trPr>
      </w:tr>
      <w:tr>
        <w:tc>
          <w:tcPr>
            <w:tcW w:type="dxa" w:w="2232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Governance</w:t>
            </w:r>
          </w:p>
        </w:tc>
        <w:tc>
          <w:tcPr>
            <w:tcW w:type="dxa" w:w="252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AEG-V16-001~008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Coverage·Supersession·Decision·Capability OFF</w:t>
            </w:r>
          </w:p>
        </w:tc>
      </w:tr>
      <w:tr>
        <w:tc>
          <w:tcPr>
            <w:tcW w:type="dxa" w:w="2232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UI Adapter</w:t>
            </w:r>
          </w:p>
        </w:tc>
        <w:tc>
          <w:tcPr>
            <w:tcW w:type="dxa" w:w="252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009~016</w:t>
            </w:r>
          </w:p>
        </w:tc>
        <w:tc>
          <w:tcPr>
            <w:tcW w:type="dxa" w:w="576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Contract v4·Compatibility·Evidence</w:t>
            </w:r>
          </w:p>
        </w:tc>
      </w:tr>
      <w:tr>
        <w:tc>
          <w:tcPr>
            <w:tcW w:type="dxa" w:w="2232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FE Components/CRUD</w:t>
            </w:r>
          </w:p>
        </w:tc>
        <w:tc>
          <w:tcPr>
            <w:tcW w:type="dxa" w:w="252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017~024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FieldShell·Header·CommandBar·CRUD v2</w:t>
            </w:r>
          </w:p>
        </w:tc>
      </w:tr>
      <w:tr>
        <w:tc>
          <w:tcPr>
            <w:tcW w:type="dxa" w:w="2232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BE/Data</w:t>
            </w:r>
          </w:p>
        </w:tc>
        <w:tc>
          <w:tcPr>
            <w:tcW w:type="dxa" w:w="252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025~040</w:t>
            </w:r>
          </w:p>
        </w:tc>
        <w:tc>
          <w:tcPr>
            <w:tcW w:type="dxa" w:w="576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ExecutionEnvelope·Projection·0021</w:t>
            </w:r>
          </w:p>
        </w:tc>
      </w:tr>
      <w:tr>
        <w:tc>
          <w:tcPr>
            <w:tcW w:type="dxa" w:w="2232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Scheduler/Evaluation</w:t>
            </w:r>
          </w:p>
        </w:tc>
        <w:tc>
          <w:tcPr>
            <w:tcW w:type="dxa" w:w="252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041~056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Lease/J41·Reconciliation/J42</w:t>
            </w:r>
          </w:p>
        </w:tc>
      </w:tr>
      <w:tr>
        <w:tc>
          <w:tcPr>
            <w:tcW w:type="dxa" w:w="2232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Algorithm/QA/Ops/Package</w:t>
            </w:r>
          </w:p>
        </w:tc>
        <w:tc>
          <w:tcPr>
            <w:tcW w:type="dxa" w:w="252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057~088</w:t>
            </w:r>
          </w:p>
        </w:tc>
        <w:tc>
          <w:tcPr>
            <w:tcW w:type="dxa" w:w="576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Evidence Guard·Tests·DR·Core/Full</w:t>
            </w:r>
          </w:p>
        </w:tc>
      </w:tr>
    </w:tbl>
    <w:p/>
    <w:p>
      <w:pPr>
        <w:pStyle w:val="Heading2"/>
      </w:pPr>
      <w:r>
        <w:t>Gate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56"/>
        <w:gridCol w:w="5256"/>
      </w:tblGrid>
      <w:tr>
        <w:tc>
          <w:tcPr>
            <w:tcW w:type="dxa" w:w="1440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Gate</w:t>
            </w:r>
          </w:p>
        </w:tc>
        <w:tc>
          <w:tcPr>
            <w:tcW w:type="dxa" w:w="8928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완료 조건</w:t>
            </w:r>
          </w:p>
        </w:tc>
        <w:trPr>
          <w:tblHeader/>
        </w:trPr>
      </w:tr>
      <w:tr>
        <w:tc>
          <w:tcPr>
            <w:tcW w:type="dxa" w:w="144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G0</w:t>
            </w:r>
          </w:p>
        </w:tc>
        <w:tc>
          <w:tcPr>
            <w:tcW w:type="dxa" w:w="892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도구체인·Architecture·Adapter v4·.NET/pnpm build·DbUp rehearsal</w:t>
            </w:r>
          </w:p>
        </w:tc>
      </w:tr>
      <w:tr>
        <w:tc>
          <w:tcPr>
            <w:tcW w:type="dxa" w:w="144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G1</w:t>
            </w:r>
          </w:p>
        </w:tc>
        <w:tc>
          <w:tcPr>
            <w:tcW w:type="dxa" w:w="892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Source/License·PIT·DQ·Calendar·Total Return·Fee/Tax/FX</w:t>
            </w:r>
          </w:p>
        </w:tc>
      </w:tr>
      <w:tr>
        <w:tc>
          <w:tcPr>
            <w:tcW w:type="dxa" w:w="144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G3</w:t>
            </w:r>
          </w:p>
        </w:tc>
        <w:tc>
          <w:tcPr>
            <w:tcW w:type="dxa" w:w="892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Outbox/Inbox·Lease·Scheduler·Projection rebuild·CRUD/승인 공개 E2E</w:t>
            </w:r>
          </w:p>
        </w:tc>
      </w:tr>
      <w:tr>
        <w:tc>
          <w:tcPr>
            <w:tcW w:type="dxa" w:w="144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G4</w:t>
            </w:r>
          </w:p>
        </w:tc>
        <w:tc>
          <w:tcPr>
            <w:tcW w:type="dxa" w:w="892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252세션·복수 국면·Metric/Cohort·J42·false-exit·reentry·PBO/DSR·독립검증</w:t>
            </w:r>
          </w:p>
        </w:tc>
      </w:tr>
      <w:tr>
        <w:tc>
          <w:tcPr>
            <w:tcW w:type="dxa" w:w="144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G5</w:t>
            </w:r>
          </w:p>
        </w:tc>
        <w:tc>
          <w:tcPr>
            <w:tcW w:type="dxa" w:w="892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OIDC·PII·SBOM·SLO·DR·kill-switch</w:t>
            </w:r>
          </w:p>
        </w:tc>
      </w:tr>
      <w:tr>
        <w:tc>
          <w:tcPr>
            <w:tcW w:type="dxa" w:w="144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G6</w:t>
            </w:r>
          </w:p>
        </w:tc>
        <w:tc>
          <w:tcPr>
            <w:tcW w:type="dxa" w:w="892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Release Evidence·운영/준법/투자위 승인</w:t>
            </w:r>
          </w:p>
        </w:tc>
      </w:tr>
    </w:tbl>
    <w:p/>
    <w:p>
      <w:pPr>
        <w:pStyle w:val="Heading2"/>
      </w:pPr>
      <w:r>
        <w:t>핵심 P0 부채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504"/>
        <w:gridCol w:w="3504"/>
        <w:gridCol w:w="3504"/>
      </w:tblGrid>
      <w:tr>
        <w:tc>
          <w:tcPr>
            <w:tcW w:type="dxa" w:w="1440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ID</w:t>
            </w:r>
          </w:p>
        </w:tc>
        <w:tc>
          <w:tcPr>
            <w:tcW w:type="dxa" w:w="7416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부채</w:t>
            </w:r>
          </w:p>
        </w:tc>
        <w:tc>
          <w:tcPr>
            <w:tcW w:type="dxa" w:w="1440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Gate</w:t>
            </w:r>
          </w:p>
        </w:tc>
        <w:trPr>
          <w:tblHeader/>
        </w:trPr>
      </w:tr>
      <w:tr>
        <w:tc>
          <w:tcPr>
            <w:tcW w:type="dxa" w:w="144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TD-125</w:t>
            </w:r>
          </w:p>
        </w:tc>
        <w:tc>
          <w:tcPr>
            <w:tcW w:type="dxa" w:w="7416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Adapter v4 runtime typecheck 미검증</w:t>
            </w:r>
          </w:p>
        </w:tc>
        <w:tc>
          <w:tcPr>
            <w:tcW w:type="dxa" w:w="144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G0</w:t>
            </w:r>
          </w:p>
        </w:tc>
      </w:tr>
      <w:tr>
        <w:tc>
          <w:tcPr>
            <w:tcW w:type="dxa" w:w="144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TD-126</w:t>
            </w:r>
          </w:p>
        </w:tc>
        <w:tc>
          <w:tcPr>
            <w:tcW w:type="dxa" w:w="7416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pnpm-lock.yaml 부재</w:t>
            </w:r>
          </w:p>
        </w:tc>
        <w:tc>
          <w:tcPr>
            <w:tcW w:type="dxa" w:w="144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G0</w:t>
            </w:r>
          </w:p>
        </w:tc>
      </w:tr>
      <w:tr>
        <w:tc>
          <w:tcPr>
            <w:tcW w:type="dxa" w:w="144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TD-127</w:t>
            </w:r>
          </w:p>
        </w:tc>
        <w:tc>
          <w:tcPr>
            <w:tcW w:type="dxa" w:w="7416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.NET 10 신규 코드 build 미검증</w:t>
            </w:r>
          </w:p>
        </w:tc>
        <w:tc>
          <w:tcPr>
            <w:tcW w:type="dxa" w:w="144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G0</w:t>
            </w:r>
          </w:p>
        </w:tc>
      </w:tr>
      <w:tr>
        <w:tc>
          <w:tcPr>
            <w:tcW w:type="dxa" w:w="144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TD-128</w:t>
            </w:r>
          </w:p>
        </w:tc>
        <w:tc>
          <w:tcPr>
            <w:tcW w:type="dxa" w:w="7416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0021 Migration rehearsal 미실행</w:t>
            </w:r>
          </w:p>
        </w:tc>
        <w:tc>
          <w:tcPr>
            <w:tcW w:type="dxa" w:w="144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G0</w:t>
            </w:r>
          </w:p>
        </w:tc>
      </w:tr>
      <w:tr>
        <w:tc>
          <w:tcPr>
            <w:tcW w:type="dxa" w:w="144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TD-129</w:t>
            </w:r>
          </w:p>
        </w:tc>
        <w:tc>
          <w:tcPr>
            <w:tcW w:type="dxa" w:w="7416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Lease fencing repository 미구현</w:t>
            </w:r>
          </w:p>
        </w:tc>
        <w:tc>
          <w:tcPr>
            <w:tcW w:type="dxa" w:w="144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G3</w:t>
            </w:r>
          </w:p>
        </w:tc>
      </w:tr>
      <w:tr>
        <w:tc>
          <w:tcPr>
            <w:tcW w:type="dxa" w:w="144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TD-130</w:t>
            </w:r>
          </w:p>
        </w:tc>
        <w:tc>
          <w:tcPr>
            <w:tcW w:type="dxa" w:w="7416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J41 Handler 미구현</w:t>
            </w:r>
          </w:p>
        </w:tc>
        <w:tc>
          <w:tcPr>
            <w:tcW w:type="dxa" w:w="144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G3</w:t>
            </w:r>
          </w:p>
        </w:tc>
      </w:tr>
      <w:tr>
        <w:tc>
          <w:tcPr>
            <w:tcW w:type="dxa" w:w="144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TD-131</w:t>
            </w:r>
          </w:p>
        </w:tc>
        <w:tc>
          <w:tcPr>
            <w:tcW w:type="dxa" w:w="7416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J42 Handler 미구현</w:t>
            </w:r>
          </w:p>
        </w:tc>
        <w:tc>
          <w:tcPr>
            <w:tcW w:type="dxa" w:w="144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G4</w:t>
            </w:r>
          </w:p>
        </w:tc>
      </w:tr>
      <w:tr>
        <w:tc>
          <w:tcPr>
            <w:tcW w:type="dxa" w:w="144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TD-132</w:t>
            </w:r>
          </w:p>
        </w:tc>
        <w:tc>
          <w:tcPr>
            <w:tcW w:type="dxa" w:w="7416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최신 Calendar/Total Return source 미확정</w:t>
            </w:r>
          </w:p>
        </w:tc>
        <w:tc>
          <w:tcPr>
            <w:tcW w:type="dxa" w:w="144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G1</w:t>
            </w:r>
          </w:p>
        </w:tc>
      </w:tr>
    </w:tbl>
    <w:p/>
    <w:p>
      <w:r>
        <w:br w:type="page"/>
      </w:r>
    </w:p>
    <w:p>
      <w:pPr>
        <w:pStyle w:val="Heading1"/>
      </w:pPr>
      <w:r>
        <w:t>13. 20영업일 재착수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504"/>
        <w:gridCol w:w="3504"/>
        <w:gridCol w:w="3504"/>
      </w:tblGrid>
      <w:tr>
        <w:tc>
          <w:tcPr>
            <w:tcW w:type="dxa" w:w="1440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기간</w:t>
            </w:r>
          </w:p>
        </w:tc>
        <w:tc>
          <w:tcPr>
            <w:tcW w:type="dxa" w:w="6336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핵심 작업</w:t>
            </w:r>
          </w:p>
        </w:tc>
        <w:tc>
          <w:tcPr>
            <w:tcW w:type="dxa" w:w="3168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완료 증거</w:t>
            </w:r>
          </w:p>
        </w:tc>
        <w:trPr>
          <w:tblHeader/>
        </w:trPr>
      </w:tr>
      <w:tr>
        <w:tc>
          <w:tcPr>
            <w:tcW w:type="dxa" w:w="144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D1~D3</w:t>
            </w:r>
          </w:p>
        </w:tc>
        <w:tc>
          <w:tcPr>
            <w:tcW w:type="dxa" w:w="6336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v16 Coverage·Decision·Capability OFF·ID Registry</w:t>
            </w:r>
          </w:p>
        </w:tc>
        <w:tc>
          <w:tcPr>
            <w:tcW w:type="dxa" w:w="316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Steering 승인·중복 ID 0</w:t>
            </w:r>
          </w:p>
        </w:tc>
      </w:tr>
      <w:tr>
        <w:tc>
          <w:tcPr>
            <w:tcW w:type="dxa" w:w="144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D4~D6</w:t>
            </w:r>
          </w:p>
        </w:tc>
        <w:tc>
          <w:tcPr>
            <w:tcW w:type="dxa" w:w="6336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.NET/node/pnpm lock·Adapter v4·CRUD v2</w:t>
            </w:r>
          </w:p>
        </w:tc>
        <w:tc>
          <w:tcPr>
            <w:tcW w:type="dxa" w:w="316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reproducible bootstrap</w:t>
            </w:r>
          </w:p>
        </w:tc>
      </w:tr>
      <w:tr>
        <w:tc>
          <w:tcPr>
            <w:tcW w:type="dxa" w:w="144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D7~D10</w:t>
            </w:r>
          </w:p>
        </w:tc>
        <w:tc>
          <w:tcPr>
            <w:tcW w:type="dxa" w:w="6336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DbUp 4시나리오·Auth·Outbox/Inbox·Lease fencing</w:t>
            </w:r>
          </w:p>
        </w:tc>
        <w:tc>
          <w:tcPr>
            <w:tcW w:type="dxa" w:w="316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G0/G3 통과</w:t>
            </w:r>
          </w:p>
        </w:tc>
      </w:tr>
      <w:tr>
        <w:tc>
          <w:tcPr>
            <w:tcW w:type="dxa" w:w="144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D11~D14</w:t>
            </w:r>
          </w:p>
        </w:tc>
        <w:tc>
          <w:tcPr>
            <w:tcW w:type="dxa" w:w="6336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PIT·CA·DQ·Calendar·Projection·J42</w:t>
            </w:r>
          </w:p>
        </w:tc>
        <w:tc>
          <w:tcPr>
            <w:tcW w:type="dxa" w:w="316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replay hash·look-ahead 0</w:t>
            </w:r>
          </w:p>
        </w:tc>
      </w:tr>
      <w:tr>
        <w:tc>
          <w:tcPr>
            <w:tcW w:type="dxa" w:w="144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D15~D17</w:t>
            </w:r>
          </w:p>
        </w:tc>
        <w:tc>
          <w:tcPr>
            <w:tcW w:type="dxa" w:w="6336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Sell Guard·Reentry·Metric/Cohort·Feedback Golden</w:t>
            </w:r>
          </w:p>
        </w:tc>
        <w:tc>
          <w:tcPr>
            <w:tcW w:type="dxa" w:w="316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G2-A/G4 contract</w:t>
            </w:r>
          </w:p>
        </w:tc>
      </w:tr>
      <w:tr>
        <w:tc>
          <w:tcPr>
            <w:tcW w:type="dxa" w:w="144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D18~D20</w:t>
            </w:r>
          </w:p>
        </w:tc>
        <w:tc>
          <w:tcPr>
            <w:tcW w:type="dxa" w:w="6336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T01/T05/T08/T10·Scheduler chaos·OTel·Release Evidence</w:t>
            </w:r>
          </w:p>
        </w:tc>
        <w:tc>
          <w:tcPr>
            <w:tcW w:type="dxa" w:w="316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첫 운영형 E2E Slice Done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512"/>
      </w:tblGrid>
      <w:tr>
        <w:tc>
          <w:tcPr>
            <w:tcW w:type="dxa" w:w="10512"/>
            <w:shd w:fill="FFF2CC"/>
          </w:tcPr>
          <w:p>
            <w:r/>
            <w:r>
              <w:rPr>
                <w:rFonts w:ascii="NanumSquare" w:hAnsi="NanumSquare" w:eastAsia="NanumSquare"/>
                <w:b/>
                <w:sz w:val="20"/>
              </w:rPr>
              <w:t>착수 원칙</w:t>
              <w:br/>
            </w:r>
            <w:r>
              <w:rPr>
                <w:rFonts w:ascii="NanumSquare" w:hAnsi="NanumSquare" w:eastAsia="NanumSquare"/>
                <w:sz w:val="18"/>
              </w:rPr>
              <w:t>Ready Gate를 통과하지 않은 Slice는 코딩하지 않는다. 미확정 값은 DECISION_REQUIRED로 차단하며 AI나 개발자가 편의 기본값으로 추정하지 않는다.</w:t>
            </w:r>
          </w:p>
        </w:tc>
        <w:trPr>
          <w:tblHeader/>
        </w:trPr>
      </w:tr>
    </w:tbl>
    <w:p/>
    <w:p>
      <w:r>
        <w:br w:type="page"/>
      </w:r>
    </w:p>
    <w:p>
      <w:pPr>
        <w:pStyle w:val="Heading1"/>
      </w:pPr>
      <w:r>
        <w:t>14. 검증 진실성·패키지 정책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504"/>
        <w:gridCol w:w="3504"/>
        <w:gridCol w:w="3504"/>
      </w:tblGrid>
      <w:tr>
        <w:tc>
          <w:tcPr>
            <w:tcW w:type="dxa" w:w="3960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검증</w:t>
            </w:r>
          </w:p>
        </w:tc>
        <w:tc>
          <w:tcPr>
            <w:tcW w:type="dxa" w:w="3168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현재 상태</w:t>
            </w:r>
          </w:p>
        </w:tc>
        <w:tc>
          <w:tcPr>
            <w:tcW w:type="dxa" w:w="2880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판정</w:t>
            </w:r>
          </w:p>
        </w:tc>
        <w:trPr>
          <w:tblHeader/>
        </w:trPr>
      </w:tr>
      <w:tr>
        <w:tc>
          <w:tcPr>
            <w:tcW w:type="dxa" w:w="396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v16 JSON/CSV/source/vendor boundary</w:t>
            </w:r>
          </w:p>
        </w:tc>
        <w:tc>
          <w:tcPr>
            <w:tcW w:type="dxa" w:w="316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PASS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이 환경에서 실행</w:t>
            </w:r>
          </w:p>
        </w:tc>
      </w:tr>
      <w:tr>
        <w:tc>
          <w:tcPr>
            <w:tcW w:type="dxa" w:w="396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Python validate_v16</w:t>
            </w:r>
          </w:p>
        </w:tc>
        <w:tc>
          <w:tcPr>
            <w:tcW w:type="dxa" w:w="316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PASS=1 / WARN=2 / FAIL=0</w:t>
            </w:r>
          </w:p>
        </w:tc>
        <w:tc>
          <w:tcPr>
            <w:tcW w:type="dxa" w:w="288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이 환경에서 실행</w:t>
            </w:r>
          </w:p>
        </w:tc>
      </w:tr>
      <w:tr>
        <w:tc>
          <w:tcPr>
            <w:tcW w:type="dxa" w:w="396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DOCX render/육안/a11y</w:t>
            </w:r>
          </w:p>
        </w:tc>
        <w:tc>
          <w:tcPr>
            <w:tcW w:type="dxa" w:w="316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생성 후 수행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필수</w:t>
            </w:r>
          </w:p>
        </w:tc>
      </w:tr>
      <w:tr>
        <w:tc>
          <w:tcPr>
            <w:tcW w:type="dxa" w:w="396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.NET restore/build/test</w:t>
            </w:r>
          </w:p>
        </w:tc>
        <w:tc>
          <w:tcPr>
            <w:tcW w:type="dxa" w:w="316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미실행: SDK 없음</w:t>
            </w:r>
          </w:p>
        </w:tc>
        <w:tc>
          <w:tcPr>
            <w:tcW w:type="dxa" w:w="288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PASS 주장 금지</w:t>
            </w:r>
          </w:p>
        </w:tc>
      </w:tr>
      <w:tr>
        <w:tc>
          <w:tcPr>
            <w:tcW w:type="dxa" w:w="396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pnpm frozen/typecheck/Vitest/build</w:t>
            </w:r>
          </w:p>
        </w:tc>
        <w:tc>
          <w:tcPr>
            <w:tcW w:type="dxa" w:w="316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미실행: lock/dependency 없음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PASS 주장 금지</w:t>
            </w:r>
          </w:p>
        </w:tc>
      </w:tr>
      <w:tr>
        <w:tc>
          <w:tcPr>
            <w:tcW w:type="dxa" w:w="396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PostgreSQL DbUp 0021 4시나리오</w:t>
            </w:r>
          </w:p>
        </w:tc>
        <w:tc>
          <w:tcPr>
            <w:tcW w:type="dxa" w:w="316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미실행: DB runtime 없음</w:t>
            </w:r>
          </w:p>
        </w:tc>
        <w:tc>
          <w:tcPr>
            <w:tcW w:type="dxa" w:w="288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PASS 주장 금지</w:t>
            </w:r>
          </w:p>
        </w:tc>
      </w:tr>
      <w:tr>
        <w:tc>
          <w:tcPr>
            <w:tcW w:type="dxa" w:w="396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Playwright/a11y/visual</w:t>
            </w:r>
          </w:p>
        </w:tc>
        <w:tc>
          <w:tcPr>
            <w:tcW w:type="dxa" w:w="316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미실행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PASS 주장 금지</w:t>
            </w:r>
          </w:p>
        </w:tc>
      </w:tr>
      <w:tr>
        <w:tc>
          <w:tcPr>
            <w:tcW w:type="dxa" w:w="396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Lease/Scheduler chaos·DR</w:t>
            </w:r>
          </w:p>
        </w:tc>
        <w:tc>
          <w:tcPr>
            <w:tcW w:type="dxa" w:w="316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미실행</w:t>
            </w:r>
          </w:p>
        </w:tc>
        <w:tc>
          <w:tcPr>
            <w:tcW w:type="dxa" w:w="288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PASS 주장 금지</w:t>
            </w:r>
          </w:p>
        </w:tc>
      </w:tr>
      <w:tr>
        <w:tc>
          <w:tcPr>
            <w:tcW w:type="dxa" w:w="396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252-session Shadow/PBO/DSR</w:t>
            </w:r>
          </w:p>
        </w:tc>
        <w:tc>
          <w:tcPr>
            <w:tcW w:type="dxa" w:w="316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미충족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생산 승격 금지</w:t>
            </w:r>
          </w:p>
        </w:tc>
      </w:tr>
    </w:tbl>
    <w:p/>
    <w:p>
      <w:pPr>
        <w:pStyle w:val="Heading2"/>
      </w:pPr>
      <w:r>
        <w:t>ZIP 분리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504"/>
        <w:gridCol w:w="3504"/>
        <w:gridCol w:w="3504"/>
      </w:tblGrid>
      <w:tr>
        <w:tc>
          <w:tcPr>
            <w:tcW w:type="dxa" w:w="2880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패키지</w:t>
            </w:r>
          </w:p>
        </w:tc>
        <w:tc>
          <w:tcPr>
            <w:tcW w:type="dxa" w:w="5616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포함</w:t>
            </w:r>
          </w:p>
        </w:tc>
        <w:tc>
          <w:tcPr>
            <w:tcW w:type="dxa" w:w="1872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목적</w:t>
            </w:r>
          </w:p>
        </w:tc>
        <w:trPr>
          <w:tblHeader/>
        </w:trPr>
      </w:tr>
      <w:tr>
        <w:tc>
          <w:tcPr>
            <w:tcW w:type="dxa" w:w="288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Core_NoLegacy</w:t>
            </w:r>
          </w:p>
        </w:tc>
        <w:tc>
          <w:tcPr>
            <w:tcW w:type="dxa" w:w="5616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v16 소스·문서·현재 DOCX 원본; source archive ZIP 제외</w:t>
            </w:r>
          </w:p>
        </w:tc>
        <w:tc>
          <w:tcPr>
            <w:tcW w:type="dxa" w:w="1872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개발/CI·다운로드 최소화</w:t>
            </w:r>
          </w:p>
        </w:tc>
      </w:tr>
      <w:tr>
        <w:tc>
          <w:tcPr>
            <w:tcW w:type="dxa" w:w="288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Full_With_Attachments</w:t>
            </w:r>
          </w:p>
        </w:tc>
        <w:tc>
          <w:tcPr>
            <w:tcW w:type="dxa" w:w="5616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Core + 현재 첨부 v15 Core ZIP 1회</w:t>
            </w:r>
          </w:p>
        </w:tc>
        <w:tc>
          <w:tcPr>
            <w:tcW w:type="dxa" w:w="1872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원본 보존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512"/>
      </w:tblGrid>
      <w:tr>
        <w:tc>
          <w:tcPr>
            <w:tcW w:type="dxa" w:w="10512"/>
            <w:shd w:fill="DDEBF7"/>
          </w:tcPr>
          <w:p>
            <w:r/>
            <w:r>
              <w:rPr>
                <w:rFonts w:ascii="NanumSquare" w:hAnsi="NanumSquare" w:eastAsia="NanumSquare"/>
                <w:b/>
                <w:sz w:val="20"/>
              </w:rPr>
              <w:t>재귀 ZIP 방지</w:t>
              <w:br/>
            </w:r>
            <w:r>
              <w:rPr>
                <w:rFonts w:ascii="NanumSquare" w:hAnsi="NanumSquare" w:eastAsia="NanumSquare"/>
                <w:sz w:val="18"/>
              </w:rPr>
              <w:t>생성된 v16 ZIP은 입력 tree에 다시 넣지 않는다. Core 내부 ZIP은 0개이며 Full은 직전 v15 Core archive를 정확히 1회 포함한다. 모든 원본은 SHA-256으로 대사한다.</w:t>
            </w:r>
          </w:p>
        </w:tc>
        <w:trPr>
          <w:tblHeader/>
        </w:trPr>
      </w:tr>
    </w:tbl>
    <w:p/>
    <w:p>
      <w:r>
        <w:br w:type="page"/>
      </w:r>
    </w:p>
    <w:p>
      <w:pPr>
        <w:pStyle w:val="Heading1"/>
      </w:pPr>
      <w:r>
        <w:t>부록. 최종 체크리스트</w:t>
      </w:r>
    </w:p>
    <w:p>
      <w:r>
        <w:t>□ v10.0·v12.1·v15.0 유효 기준이 Coverage Matrix에 보존되었다.</w:t>
      </w:r>
    </w:p>
    <w:p>
      <w:r>
        <w:t>□ 자동주문/KIS 제출/자동 모델활성화 Capability가 OFF다.</w:t>
      </w:r>
    </w:p>
    <w:p>
      <w:r>
        <w:t>□ Feature의 PrimeVue/AG Grid 직접 import가 0이다.</w:t>
      </w:r>
    </w:p>
    <w:p>
      <w:r>
        <w:t>□ UI Adapter v4 14 capability와 호환성 report가 존재한다.</w:t>
      </w:r>
    </w:p>
    <w:p>
      <w:r>
        <w:t>□ FieldShell·DataContextHeader·CommandBar·CRUD Resource v2가 존재한다.</w:t>
      </w:r>
    </w:p>
    <w:p>
      <w:r>
        <w:t>□ T01~T10과 13개 공통 상태를 유지한다.</w:t>
      </w:r>
    </w:p>
    <w:p>
      <w:r>
        <w:t>□ As-of/VersionSet/ProjectionVersion/Watermark/Correlation을 숨기지 않는다.</w:t>
      </w:r>
    </w:p>
    <w:p>
      <w:r>
        <w:t>□ ExecutionEnvelope가 PIT cutoff와 VersionSet을 검증한다.</w:t>
      </w:r>
    </w:p>
    <w:p>
      <w:r>
        <w:t>□ Hard impairment와 survival은 하위 점수로 상쇄되지 않는다.</w:t>
      </w:r>
    </w:p>
    <w:p>
      <w:r>
        <w:t>□ SellDecisionEvidenceGuard가 look-ahead와 단위 혼용을 차단한다.</w:t>
      </w:r>
    </w:p>
    <w:p>
      <w:r>
        <w:t>□ Reentry는 새 Cycle/Lot·10세션 간격·126세션 만료·중복방지를 보존한다.</w:t>
      </w:r>
    </w:p>
    <w:p>
      <w:r>
        <w:t>□ Scheduler next due는 scheduledFor anchor에서 계산한다.</w:t>
      </w:r>
    </w:p>
    <w:p>
      <w:r>
        <w:t>□ Lease fencing token으로 stale worker를 거부한다.</w:t>
      </w:r>
    </w:p>
    <w:p>
      <w:r>
        <w:t>□ J41/J42는 기본 disabled·EvaluationOnly다.</w:t>
      </w:r>
    </w:p>
    <w:p>
      <w:r>
        <w:t>□ J42는 평가 repair plan만 만들고 모델을 변경하지 않는다.</w:t>
      </w:r>
    </w:p>
    <w:p>
      <w:r>
        <w:t>□ 0021 fresh/upgrade/re-run/failure rehearsal이 필요하다.</w:t>
      </w:r>
    </w:p>
    <w:p>
      <w:r>
        <w:t>□ .NET/pnpm/PostgreSQL/Playwright/Shadow 미수행을 PASS로 쓰지 않는다.</w:t>
      </w:r>
    </w:p>
    <w:p>
      <w:r>
        <w:t>□ 252 거래세션 Shadow·복수 국면·독립검증 전 투자일임형을 검토하지 않는다.</w:t>
      </w:r>
    </w:p>
    <w:p>
      <w:r>
        <w:t>□ Core 내부 ZIP 0개, Full source archive ZIP 1개 정책을 지킨다.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512"/>
      </w:tblGrid>
      <w:tr>
        <w:tc>
          <w:tcPr>
            <w:tcW w:type="dxa" w:w="10512"/>
            <w:shd w:fill="E2F0D9"/>
          </w:tcPr>
          <w:p>
            <w:r/>
            <w:r>
              <w:rPr>
                <w:rFonts w:ascii="NanumSquare" w:hAnsi="NanumSquare" w:eastAsia="NanumSquare"/>
                <w:b/>
                <w:sz w:val="20"/>
              </w:rPr>
              <w:t>최종 Go 정의</w:t>
              <w:br/>
            </w:r>
            <w:r>
              <w:rPr>
                <w:rFonts w:ascii="NanumSquare" w:hAnsi="NanumSquare" w:eastAsia="NanumSquare"/>
                <w:sz w:val="18"/>
              </w:rPr>
              <w:t>코드가 존재하는 상태가 아니라 Source→Requirement→Policy/Data→API/DB/Job/UI→Test→PR→Release Evidence가 연결되고 운영·준법 Gate가 runtime 증거로 통과된 상태다.</w:t>
            </w:r>
          </w:p>
        </w:tc>
        <w:trPr>
          <w:tblHeader/>
        </w:trPr>
      </w:tr>
    </w:tbl>
    <w:p/>
    <w:sectPr w:rsidR="00FC693F" w:rsidRPr="0006063C" w:rsidSect="00034616">
      <w:headerReference w:type="default" r:id="rId9"/>
      <w:footerReference w:type="default" r:id="rId10"/>
      <w:pgSz w:w="12240" w:h="15840"/>
      <w:pgMar w:top="835" w:right="864" w:bottom="835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NanumSquare" w:hAnsi="NanumSquare" w:eastAsia="NanumSquare"/>
        <w:sz w:val="14"/>
      </w:rPr>
      <w:t>RESEARCH_CANDIDATE_NOT_PRODUCTION · 투자자문형 우선 · 자동주문/KIS 제출·자동 모델활성화 OFF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NanumSquare" w:hAnsi="NanumSquare" w:eastAsia="NanumSquare"/>
        <w:sz w:val="16"/>
      </w:rPr>
      <w:t>K-ArtSell Aegis | v16.0 실행참조 구현·표준 UI·지속 모델 평가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NanumSquare" w:hAnsi="NanumSquare" w:eastAsia="NanumSquare"/>
      <w:sz w:val="17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NanumSquare" w:hAnsi="NanumSquare" w:eastAsia="NanumSquare"/>
      <w:b/>
      <w:bCs/>
      <w:color w:val="1F4E79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NanumSquare" w:hAnsi="NanumSquare" w:eastAsia="NanumSquare"/>
      <w:b/>
      <w:bCs/>
      <w:color w:val="1F4E79"/>
      <w:sz w:val="27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NanumSquare" w:hAnsi="NanumSquare" w:eastAsia="NanumSquare"/>
      <w:b/>
      <w:bCs/>
      <w:color w:val="1F4E79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NanumSquare" w:hAnsi="NanumSquare" w:eastAsia="NanumSquare"/>
      <w:sz w:val="17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rFonts w:ascii="NanumSquare" w:hAnsi="NanumSquare" w:eastAsia="NanumSquare"/>
      <w:sz w:val="17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K-ArtSell Aegis v16.0 실행참조 구현·표준 UI·지속 모델 평가 통합 고도화 제안서</dc:title>
  <dc:subject>Source-grounded reference implementation closure</dc:subject>
  <dc:creator>K-ArtSell Aegis Project</dc:creator>
  <cp:keywords>K-ArtSell,Aegis,.NET 10,Vue 3,PIT,UI Adapter,CRUD,Hangfire,Lease Fencing,Model Evaluation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